
<file path=[Content_Types].xml><?xml version="1.0" encoding="utf-8"?>
<Types xmlns="http://schemas.openxmlformats.org/package/2006/content-types">
  <Default Extension="rels" ContentType="application/vnd.openxmlformats-officedocument.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docProps/core.xml" ContentType="application/vnd.openxmlformats-officedocument.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Kicker"/>
      </w:pPr>
      <w:r>
        <w:t xml:space="preserve">研究报告</w:t>
      </w:r>
    </w:p>
    <w:p>
      <w:pPr>
        <w:pStyle w:val="Title"/>
        <w:keepNext/>
        <w:keepLines/>
      </w:pPr>
      <w:r>
        <w:t xml:space="preserve">2024年互联网使用率:三国与世界汇总</w:t>
      </w:r>
    </w:p>
    <w:p>
      <w:pPr>
        <w:pStyle w:val="Cite"/>
      </w:pPr>
      <w:r>
        <w:t xml:space="preserve">审批依据版本 31</w:t>
      </w:r>
    </w:p>
    <w:p>
      <w:pPr>
        <w:pStyle w:val="Heading1"/>
        <w:keepNext/>
        <w:keepLines/>
      </w:pPr>
      <w:r>
        <w:t xml:space="preserve">摘要</w:t>
      </w:r>
    </w:p>
    <w:p>
      <w:pPr/>
      <w:r>
        <w:t xml:space="preserve">本报告比较中国、哥伦比亚与新加坡在2024年的互联网使用率，并以世界汇总值作为参照。世界银行同一指标下的原始观测值分别为中国92、哥伦比亚79.34543299、新加坡94.37757178、世界汇总71.2，单位均为人口占比百分数。显示为两位小数时，对应92.00%、79.35%、94.38%和71.20%。原值保留在可编辑图表的数据中，显示取整不改变底层观测。三国数值均高于世界汇总值；这只是本次选取对象的同年描述，不能扩展成所有国家的排名，也不能证明任何政策的效果。 [S05] [S04] [S02] [S03]</w:t>
      </w:r>
    </w:p>
    <w:p>
      <w:pPr/>
      <w:r>
        <w:t xml:space="preserve">对数字基础设施与战略决策者而言，本报告可用作一个口径明确的使用水平参照，不能直接充当投资优先级、网络服务质量或市场规模的测算依据。世界汇总不是第四个国家。图表把它明确标为汇总参照，并与三国观察对象区分；不能把四个数字作简单平均后称为新的世界平均，也不能把三国样本当作全球代表性样本。 [S03]</w:t>
      </w:r>
    </w:p>
    <w:p>
      <w:pPr>
        <w:pStyle w:val="Heading1"/>
        <w:keepNext/>
        <w:keepLines/>
      </w:pPr>
      <w:r>
        <w:t xml:space="preserve">方法</w:t>
      </w:r>
    </w:p>
    <w:p>
      <w:pPr/>
      <w:r>
        <w:t xml:space="preserve">数据直接来自世界银行官方API，指标为IT.NET.USER.ZS，英文名称为Individuals using the Internet (% of population)。官方定义指过去三个月内从任何地点使用过互联网的个人，设备可以是计算机、移动电话、个人数字助理、游戏机或数字电视等。因此，该指标关注是否使用过互联网，不等同于家庭固定宽带订阅率、连接速度、日均使用时长、服务价格或数字技能。一个使用率数字不能同时回答这些不同问题。 [S01]</w:t>
      </w:r>
    </w:p>
    <w:p>
      <w:pPr/>
      <w:r>
        <w:t xml:space="preserve">本次统一观测年份为2024，国家代码为CHN、COL和SGP，汇总代码为WLD。任务中的2026年是来源读取及数据版本相关时间，不能被当作观测年份。比较只使用同指标、同单位、同年记录，不把其他年份的新闻、搜索摘要或国内其他统计口径混入该组数据。报告引用保留到实际入库的官方记录；粘贴说明只用于提出研究范围，不作为独立验证来源。 [S05] [S04] [S02] [S03]</w:t>
      </w:r>
    </w:p>
    <w:p>
      <w:pPr>
        <w:pStyle w:val="Heading1"/>
        <w:keepNext/>
        <w:keepLines/>
        <w:pageBreakBefore/>
      </w:pPr>
      <w:r>
        <w:t xml:space="preserve">研究问题覆盖</w:t>
      </w:r>
    </w:p>
    <w:p>
      <w:pPr>
        <w:pStyle w:val="Heading2"/>
        <w:keepNext/>
        <w:keepLines/>
        <w:spacing w:before="100" w:after="40"/>
      </w:pPr>
      <w:r>
        <w:t xml:space="preserve">RQ01 · 已覆盖 · 中国：官方统计与公开指标 [S05]</w:t>
      </w:r>
    </w:p>
    <w:p>
      <w:pPr>
        <w:keepLines/>
        <w:spacing w:before="0" w:after="80"/>
      </w:pPr>
      <w:r>
        <w:t xml:space="preserve">由 1 条保留的证据记录支持。</w:t>
      </w:r>
    </w:p>
    <w:p>
      <w:pPr>
        <w:pStyle w:val="Heading2"/>
        <w:keepNext/>
        <w:keepLines/>
        <w:spacing w:before="100" w:after="40"/>
      </w:pPr>
      <w:r>
        <w:t xml:space="preserve">RQ02 · 已覆盖 · 哥伦比亚：官方统计与公开指标 [S04]</w:t>
      </w:r>
    </w:p>
    <w:p>
      <w:pPr>
        <w:keepLines/>
        <w:spacing w:before="0" w:after="80"/>
      </w:pPr>
      <w:r>
        <w:t xml:space="preserve">由 1 条保留的证据记录支持。</w:t>
      </w:r>
    </w:p>
    <w:p>
      <w:pPr>
        <w:pStyle w:val="Heading2"/>
        <w:keepNext/>
        <w:keepLines/>
        <w:spacing w:before="100" w:after="40"/>
      </w:pPr>
      <w:r>
        <w:t xml:space="preserve">RQ03 · 已覆盖 · 新加坡：官方统计与公开指标 [S02]</w:t>
      </w:r>
    </w:p>
    <w:p>
      <w:pPr>
        <w:keepLines/>
        <w:spacing w:before="0" w:after="80"/>
      </w:pPr>
      <w:r>
        <w:t xml:space="preserve">由 1 条保留的证据记录支持。</w:t>
      </w:r>
    </w:p>
    <w:p>
      <w:pPr>
        <w:pStyle w:val="Heading2"/>
        <w:keepNext/>
        <w:keepLines/>
        <w:spacing w:before="100" w:after="40"/>
      </w:pPr>
      <w:r>
        <w:t xml:space="preserve">RQ04 · 已覆盖 · 世界汇总：官方统计与公开指标 [S03]</w:t>
      </w:r>
    </w:p>
    <w:p>
      <w:pPr>
        <w:keepLines/>
        <w:spacing w:before="0" w:after="80"/>
      </w:pPr>
      <w:r>
        <w:t xml:space="preserve">由 1 条保留的证据记录支持。</w:t>
      </w:r>
    </w:p>
    <w:p>
      <w:pPr>
        <w:pStyle w:val="Heading2"/>
        <w:keepNext/>
        <w:keepLines/>
        <w:spacing w:before="100" w:after="40"/>
      </w:pPr>
      <w:r>
        <w:t xml:space="preserve">RQ05 · 已覆盖 · 官方指标定义 统计口径 共同单位与期间 [S01]</w:t>
      </w:r>
    </w:p>
    <w:p>
      <w:pPr>
        <w:keepLines/>
        <w:spacing w:before="0" w:after="80"/>
      </w:pPr>
      <w:r>
        <w:t xml:space="preserve">由 1 条保留的证据记录支持。</w:t>
      </w:r>
    </w:p>
    <w:p>
      <w:pPr>
        <w:pStyle w:val="Heading2"/>
        <w:keepNext/>
        <w:keepLines/>
        <w:spacing w:before="100" w:after="40"/>
      </w:pPr>
      <w:r>
        <w:t xml:space="preserve">RQ06 · 部分覆盖 · 官方时间序列 趋势 地理覆盖与比较</w:t>
      </w:r>
    </w:p>
    <w:p>
      <w:pPr>
        <w:keepLines/>
        <w:spacing w:before="0" w:after="80"/>
      </w:pPr>
      <w:r>
        <w:t xml:space="preserve">已发现相关候选证据，但未通过最终保留证据审查；此问题仍需补充研究。</w:t>
      </w:r>
    </w:p>
    <w:p>
      <w:pPr>
        <w:pStyle w:val="Heading2"/>
        <w:keepNext/>
        <w:keepLines/>
        <w:spacing w:before="100" w:after="40"/>
      </w:pPr>
      <w:r>
        <w:t xml:space="preserve">RQ07 · 数据缺口 · 官方可负担性 价格与接入约束</w:t>
      </w:r>
    </w:p>
    <w:p>
      <w:pPr>
        <w:keepLines/>
        <w:spacing w:before="0" w:after="80"/>
      </w:pPr>
      <w:r>
        <w:t xml:space="preserve">现有证据尚不能回答此问题，需补充研究。</w:t>
      </w:r>
    </w:p>
    <w:p>
      <w:pPr>
        <w:pStyle w:val="Heading2"/>
        <w:keepNext/>
        <w:keepLines/>
        <w:spacing w:before="100" w:after="40"/>
      </w:pPr>
      <w:r>
        <w:t xml:space="preserve">RQ08 · 数据缺口 · 官方设备 技能 有效使用与采用障碍</w:t>
      </w:r>
    </w:p>
    <w:p>
      <w:pPr>
        <w:keepLines/>
        <w:spacing w:before="0" w:after="80"/>
      </w:pPr>
      <w:r>
        <w:t xml:space="preserve">现有证据尚不能回答此问题，需补充研究。</w:t>
      </w:r>
    </w:p>
    <w:p>
      <w:pPr>
        <w:pStyle w:val="Heading2"/>
        <w:keepNext/>
        <w:keepLines/>
        <w:spacing w:before="100" w:after="40"/>
      </w:pPr>
      <w:r>
        <w:t xml:space="preserve">RQ09 · 部分覆盖 · 官方政策 法规 治理与实施</w:t>
      </w:r>
    </w:p>
    <w:p>
      <w:pPr>
        <w:keepLines/>
        <w:spacing w:before="0" w:after="80"/>
      </w:pPr>
      <w:r>
        <w:t xml:space="preserve">已发现相关候选证据，但未通过最终保留证据审查；此问题仍需补充研究。</w:t>
      </w:r>
    </w:p>
    <w:p>
      <w:pPr>
        <w:pStyle w:val="Heading2"/>
        <w:keepNext/>
        <w:keepLines/>
        <w:spacing w:before="100" w:after="40"/>
      </w:pPr>
      <w:r>
        <w:t xml:space="preserve">RQ10 · 数据缺口 · 官方数据质量 差异 局限与不确定性</w:t>
      </w:r>
    </w:p>
    <w:p>
      <w:pPr>
        <w:keepLines/>
        <w:spacing w:before="0" w:after="80"/>
      </w:pPr>
      <w:r>
        <w:t xml:space="preserve">现有证据尚不能回答此问题，需补充研究。</w:t>
      </w:r>
    </w:p>
    <w:p>
      <w:pPr>
        <w:pStyle w:val="Heading2"/>
        <w:keepNext/>
        <w:keepLines/>
      </w:pPr>
      <w:r>
        <w:t xml:space="preserve">研究质量检查</w:t>
      </w:r>
    </w:p>
    <w:p>
      <w:pPr>
        <w:keepLines/>
        <w:keepNext/>
        <w:numPr>
          <w:ilvl w:val="0"/>
          <w:numId w:val="2"/>
        </w:numPr>
      </w:pPr>
      <w:r>
        <w:t xml:space="preserve">研究问题覆盖：5/10 (50%)</w:t>
      </w:r>
    </w:p>
    <w:p>
      <w:pPr>
        <w:keepLines/>
        <w:keepNext/>
        <w:numPr>
          <w:ilvl w:val="0"/>
          <w:numId w:val="2"/>
        </w:numPr>
      </w:pPr>
      <w:r>
        <w:t xml:space="preserve">实质性发现：5</w:t>
      </w:r>
    </w:p>
    <w:p>
      <w:pPr>
        <w:keepLines/>
        <w:keepNext/>
        <w:numPr>
          <w:ilvl w:val="0"/>
          <w:numId w:val="2"/>
        </w:numPr>
      </w:pPr>
      <w:r>
        <w:t xml:space="preserve">独立证据记录（非发布机构数）：5</w:t>
      </w:r>
    </w:p>
    <w:p>
      <w:pPr>
        <w:keepLines/>
        <w:numPr>
          <w:ilvl w:val="0"/>
          <w:numId w:val="2"/>
        </w:numPr>
      </w:pPr>
      <w:r>
        <w:t xml:space="preserve">主要/权威来源记录：5</w:t>
      </w:r>
    </w:p>
    <w:p>
      <w:pPr>
        <w:pStyle w:val="Heading1"/>
        <w:keepNext/>
        <w:keepLines/>
      </w:pPr>
      <w:r>
        <w:t xml:space="preserve">发现</w:t>
      </w:r>
    </w:p>
    <w:p>
      <w:pPr>
        <w:pStyle w:val="Heading2"/>
        <w:keepNext/>
        <w:keepLines/>
        <w:spacing w:before="120" w:after="60"/>
        <w:numPr>
          <w:ilvl w:val="0"/>
          <w:numId w:val="1"/>
        </w:numPr>
      </w:pPr>
      <w:r>
        <w:t xml:space="preserve">2024年中国互联网使用率为92.00%，原始值保留在可编辑数据中。</w:t>
      </w:r>
      <w:r>
        <w:rPr>
          <w:sz w:val="16"/>
          <w:color w:val="E4775C"/>
        </w:rPr>
        <w:t xml:space="preserve"> [S05]</w:t>
      </w:r>
    </w:p>
    <w:p>
      <w:pPr>
        <w:keepNext/>
        <w:keepLines/>
        <w:spacing w:before="0" w:after="60"/>
      </w:pPr>
      <w:r>
        <w:t xml:space="preserve">中国在2024年横截面中高于世界基准20.80个百分点。这是算术比较，不代表因果关系或国家排名。</w:t>
      </w:r>
    </w:p>
    <w:p>
      <w:pPr>
        <w:pStyle w:val="Cite"/>
        <w:keepLines/>
        <w:spacing w:before="0" w:after="40"/>
      </w:pPr>
      <w:r>
        <w:t xml:space="preserve">置信度: 0.98</w:t>
      </w:r>
    </w:p>
    <w:p>
      <w:pPr>
        <w:pStyle w:val="Heading2"/>
        <w:keepNext/>
        <w:keepLines/>
        <w:spacing w:before="120" w:after="60"/>
        <w:numPr>
          <w:ilvl w:val="0"/>
          <w:numId w:val="1"/>
        </w:numPr>
      </w:pPr>
      <w:r>
        <w:t xml:space="preserve">2024年哥伦比亚互联网使用率为79.35%，原始值保留在可编辑数据中。</w:t>
      </w:r>
      <w:r>
        <w:rPr>
          <w:sz w:val="16"/>
          <w:color w:val="E4775C"/>
        </w:rPr>
        <w:t xml:space="preserve"> [S04]</w:t>
      </w:r>
    </w:p>
    <w:p>
      <w:pPr>
        <w:keepNext/>
        <w:keepLines/>
        <w:spacing w:before="0" w:after="60"/>
      </w:pPr>
      <w:r>
        <w:t xml:space="preserve">哥伦比亚在2024年横截面中高于世界基准8.15个百分点。这是算术比较，不代表因果关系或国家排名。</w:t>
      </w:r>
    </w:p>
    <w:p>
      <w:pPr>
        <w:pStyle w:val="Cite"/>
        <w:keepLines/>
        <w:spacing w:before="0" w:after="40"/>
      </w:pPr>
      <w:r>
        <w:t xml:space="preserve">置信度: 0.98</w:t>
      </w:r>
    </w:p>
    <w:p>
      <w:pPr>
        <w:pStyle w:val="Heading2"/>
        <w:keepNext/>
        <w:keepLines/>
        <w:spacing w:before="120" w:after="60"/>
        <w:numPr>
          <w:ilvl w:val="0"/>
          <w:numId w:val="1"/>
        </w:numPr>
      </w:pPr>
      <w:r>
        <w:t xml:space="preserve">2024年新加坡互联网使用率为94.38%，原始值保留在可编辑数据中。</w:t>
      </w:r>
      <w:r>
        <w:rPr>
          <w:sz w:val="16"/>
          <w:color w:val="E4775C"/>
        </w:rPr>
        <w:t xml:space="preserve"> [S02]</w:t>
      </w:r>
    </w:p>
    <w:p>
      <w:pPr>
        <w:keepNext/>
        <w:keepLines/>
        <w:spacing w:before="0" w:after="60"/>
      </w:pPr>
      <w:r>
        <w:t xml:space="preserve">新加坡在2024年横截面中高于世界基准23.18个百分点。这是算术比较，不代表因果关系或国家排名。</w:t>
      </w:r>
    </w:p>
    <w:p>
      <w:pPr>
        <w:pStyle w:val="Cite"/>
        <w:keepLines/>
        <w:spacing w:before="0" w:after="40"/>
      </w:pPr>
      <w:r>
        <w:t xml:space="preserve">置信度: 0.98</w:t>
      </w:r>
    </w:p>
    <w:p>
      <w:pPr>
        <w:pStyle w:val="Heading2"/>
        <w:keepNext/>
        <w:keepLines/>
        <w:spacing w:before="120" w:after="60"/>
        <w:numPr>
          <w:ilvl w:val="0"/>
          <w:numId w:val="1"/>
        </w:numPr>
      </w:pPr>
      <w:r>
        <w:t xml:space="preserve">2024年世界汇总互联网使用率为71.20%，原始值保留在可编辑数据中。</w:t>
      </w:r>
      <w:r>
        <w:rPr>
          <w:sz w:val="16"/>
          <w:color w:val="E4775C"/>
        </w:rPr>
        <w:t xml:space="preserve"> [S03]</w:t>
      </w:r>
    </w:p>
    <w:p>
      <w:pPr>
        <w:keepNext/>
        <w:keepLines/>
        <w:spacing w:before="0" w:after="60"/>
      </w:pPr>
      <w:r>
        <w:t xml:space="preserve">将世界汇总(参照)的71.20%作为2024组数据的全球基准；它是比较锚点，不代表国家排名或时间趋势。</w:t>
      </w:r>
    </w:p>
    <w:p>
      <w:pPr>
        <w:pStyle w:val="Cite"/>
        <w:keepLines/>
        <w:spacing w:before="0" w:after="40"/>
      </w:pPr>
      <w:r>
        <w:t xml:space="preserve">置信度: 0.98</w:t>
      </w:r>
    </w:p>
    <w:p>
      <w:pPr>
        <w:pStyle w:val="Heading2"/>
        <w:keepNext/>
        <w:keepLines/>
        <w:spacing w:before="120" w:after="60"/>
        <w:numPr>
          <w:ilvl w:val="0"/>
          <w:numId w:val="1"/>
        </w:numPr>
      </w:pPr>
      <w:r>
        <w:t xml:space="preserve">世界银行将互联网用户定义为过去三个月内从任何地点使用过互联网的个人。</w:t>
      </w:r>
      <w:r>
        <w:rPr>
          <w:sz w:val="16"/>
          <w:color w:val="E4775C"/>
        </w:rPr>
        <w:t xml:space="preserve"> [S01]</w:t>
      </w:r>
    </w:p>
    <w:p>
      <w:pPr>
        <w:keepNext/>
        <w:keepLines/>
        <w:spacing w:before="0" w:after="60"/>
      </w:pPr>
      <w:r>
        <w:t xml:space="preserve">是否使用与连接质量、价格或数字技能是不同问题，后者需要额外证据。</w:t>
      </w:r>
    </w:p>
    <w:p>
      <w:pPr>
        <w:pStyle w:val="Cite"/>
        <w:keepLines/>
        <w:spacing w:before="0" w:after="40"/>
      </w:pPr>
      <w:r>
        <w:t xml:space="preserve">置信度: 0.98</w:t>
      </w:r>
    </w:p>
    <w:p>
      <w:pPr>
        <w:pStyle w:val="Heading1"/>
        <w:keepNext/>
        <w:keepLines/>
      </w:pPr>
      <w:r>
        <w:t xml:space="preserve">比较图表</w:t>
      </w:r>
    </w:p>
    <w:p>
      <w:pPr>
        <w:pStyle w:val="Heading2"/>
        <w:keepNext/>
        <w:keepLines/>
      </w:pPr>
      <w:r>
        <w:t xml:space="preserve">2024年互联网使用率:三国与世界汇总参照</w:t>
      </w:r>
    </w:p>
    <w:p>
      <w:pPr>
        <w:keepNext/>
      </w:pPr>
      <w:r>
        <w:drawing>
          <wp:inline distT="0" distB="0" distL="0" distR="0">
            <wp:extent cx="5486400" cy="2743200"/>
            <wp:docPr id="101" name="Chart 1" descr="2024年中国92%、哥伦比亚79.34543299%、新加坡94.37757178%;世界汇总参照71.2%。"/>
            <wp:cNvGraphicFramePr/>
            <a:graphic>
              <a:graphicData uri="http://schemas.openxmlformats.org/drawingml/2006/picture">
                <pic:pic>
                  <pic:nvPicPr>
                    <pic:cNvPr id="0" name="Chart 1.svg" descr="2024年中国92%、哥伦比亚79.34543299%、新加坡94.37757178%;世界汇总参照71.2%。"/>
                    <pic:cNvPicPr/>
                  </pic:nvPicPr>
                  <pic:blipFill>
                    <a:blip r:embed="rId6">
                      <a:extLst>
                        <a:ext uri="{96DAC541-7B7A-43D3-8B79-37D633B846F1}">
                          <asvg:svgBlip xmlns:asvg="http://schemas.microsoft.com/office/drawing/2016/SVG/main" r:embed="rId7"/>
                        </a:ext>
                      </a:extLst>
                    </a:blip>
                    <a:stretch>
                      <a:fillRect/>
                    </a:stretch>
                  </pic:blipFill>
                  <pic:spPr>
                    <a:xfrm>
                      <a:off x="0" y="0"/>
                      <a:ext cx="5486400" cy="2743200"/>
                    </a:xfrm>
                    <a:prstGeom prst="rect">
                      <a:avLst/>
                    </a:prstGeom>
                  </pic:spPr>
                </pic:pic>
              </a:graphicData>
            </a:graphic>
          </wp:inline>
        </w:drawing>
      </w:r>
    </w:p>
    <w:p>
      <w:pPr>
        <w:pStyle w:val="Cite"/>
      </w:pPr>
      <w:r>
        <w:t xml:space="preserve">三国值与世界汇总分开解读，不把汇总当作第四个国家。</w:t>
      </w:r>
    </w:p>
    <w:tbl>
      <w:tblPr>
        <w:tblW w:w="9360" w:type="dxa"/>
        <w:tblLayout w:type="fixed"/>
        <w:tblInd w:w="0" w:type="dxa"/>
        <w:tblCellMar>
          <w:top w:w="80" w:type="dxa"/>
          <w:left w:w="80" w:type="dxa"/>
          <w:bottom w:w="80" w:type="dxa"/>
          <w:right w:w="80" w:type="dxa"/>
        </w:tblCellMar>
        <w:tblBorders>
          <w:top w:val="single" w:sz="4" w:color="D9D9D9"/>
          <w:left w:val="single" w:sz="4" w:color="D9D9D9"/>
          <w:bottom w:val="single" w:sz="4" w:color="D9D9D9"/>
          <w:right w:val="single" w:sz="4" w:color="D9D9D9"/>
          <w:insideH w:val="single" w:sz="2" w:color="D9D9D9"/>
          <w:insideV w:val="single" w:sz="2" w:color="D9D9D9"/>
        </w:tblBorders>
      </w:tblPr>
      <w:tblGrid>
        <w:gridCol w:w="2500"/>
        <w:gridCol w:w="2400"/>
        <w:gridCol w:w="1200"/>
        <w:gridCol w:w="3260"/>
      </w:tblGrid>
      <w:tr>
        <w:trPr>
          <w:tblHeader/>
          <w:cantSplit/>
        </w:trPr>
        <w:tc>
          <w:tcPr>
            <w:tcW w:w="2500" w:type="dxa"/>
            <w:vAlign w:val="center"/>
            <w:shd w:fill="F2F2F2"/>
          </w:tcPr>
          <w:p>
            <w:pPr>
              <w:keepLines/>
              <w:spacing w:before="0" w:after="0" w:line="216" w:lineRule="auto"/>
              <w:jc w:val="left"/>
            </w:pPr>
            <w:r>
              <w:rPr>
                <w:b/>
                <w:sz w:val="18"/>
                <w:szCs w:val="18"/>
              </w:rPr>
              <w:t xml:space="preserve">类别</w:t>
            </w:r>
          </w:p>
        </w:tc>
        <w:tc>
          <w:tcPr>
            <w:tcW w:w="2400" w:type="dxa"/>
            <w:vAlign w:val="center"/>
            <w:shd w:fill="F2F2F2"/>
          </w:tcPr>
          <w:p>
            <w:pPr>
              <w:keepLines/>
              <w:spacing w:before="0" w:after="0" w:line="216" w:lineRule="auto"/>
              <w:jc w:val="left"/>
            </w:pPr>
            <w:r>
              <w:rPr>
                <w:b/>
                <w:sz w:val="18"/>
                <w:szCs w:val="18"/>
              </w:rPr>
              <w:t xml:space="preserve">系列</w:t>
            </w:r>
          </w:p>
        </w:tc>
        <w:tc>
          <w:tcPr>
            <w:tcW w:w="1200" w:type="dxa"/>
            <w:vAlign w:val="center"/>
            <w:shd w:fill="F2F2F2"/>
          </w:tcPr>
          <w:p>
            <w:pPr>
              <w:keepLines/>
              <w:spacing w:before="0" w:after="0" w:line="216" w:lineRule="auto"/>
              <w:jc w:val="center"/>
            </w:pPr>
            <w:r>
              <w:rPr>
                <w:b/>
                <w:sz w:val="18"/>
                <w:szCs w:val="18"/>
              </w:rPr>
              <w:t xml:space="preserve">数值 (%)</w:t>
            </w:r>
          </w:p>
        </w:tc>
        <w:tc>
          <w:tcPr>
            <w:tcW w:w="3260" w:type="dxa"/>
            <w:vAlign w:val="center"/>
            <w:shd w:fill="F2F2F2"/>
          </w:tcPr>
          <w:p>
            <w:pPr>
              <w:keepLines/>
              <w:spacing w:before="0" w:after="0" w:line="216" w:lineRule="auto"/>
              <w:jc w:val="center"/>
            </w:pPr>
            <w:r>
              <w:rPr>
                <w:b/>
                <w:sz w:val="18"/>
                <w:szCs w:val="18"/>
              </w:rPr>
              <w:t xml:space="preserve">来源</w:t>
            </w:r>
          </w:p>
        </w:tc>
      </w:tr>
      <w:tr>
        <w:trPr>
          <w:cantSplit/>
        </w:trPr>
        <w:tc>
          <w:tcPr>
            <w:tcW w:w="2500" w:type="dxa"/>
            <w:vAlign w:val="center"/>
          </w:tcPr>
          <w:p>
            <w:pPr>
              <w:keepLines/>
              <w:spacing w:before="0" w:after="0" w:line="216" w:lineRule="auto"/>
              <w:jc w:val="left"/>
            </w:pPr>
            <w:r>
              <w:rPr>
                <w:sz w:val="18"/>
                <w:szCs w:val="18"/>
              </w:rPr>
              <w:t xml:space="preserve">中国</w:t>
            </w:r>
          </w:p>
        </w:tc>
        <w:tc>
          <w:tcPr>
            <w:tcW w:w="2400" w:type="dxa"/>
            <w:vAlign w:val="center"/>
          </w:tcPr>
          <w:p>
            <w:pPr>
              <w:keepLines/>
              <w:spacing w:before="0" w:after="0" w:line="216" w:lineRule="auto"/>
              <w:jc w:val="left"/>
            </w:pPr>
            <w:r>
              <w:rPr>
                <w:sz w:val="18"/>
                <w:szCs w:val="18"/>
              </w:rPr>
              <w:t xml:space="preserve">互联网使用率</w:t>
            </w:r>
          </w:p>
        </w:tc>
        <w:tc>
          <w:tcPr>
            <w:tcW w:w="1200" w:type="dxa"/>
            <w:vAlign w:val="center"/>
          </w:tcPr>
          <w:p>
            <w:pPr>
              <w:keepLines/>
              <w:spacing w:before="0" w:after="0" w:line="216" w:lineRule="auto"/>
              <w:jc w:val="center"/>
            </w:pPr>
            <w:r>
              <w:rPr>
                <w:sz w:val="18"/>
                <w:szCs w:val="18"/>
              </w:rPr>
              <w:t xml:space="preserve">92.00</w:t>
            </w:r>
          </w:p>
        </w:tc>
        <w:tc>
          <w:tcPr>
            <w:tcW w:w="3260" w:type="dxa"/>
            <w:vAlign w:val="center"/>
          </w:tcPr>
          <w:p>
            <w:pPr>
              <w:keepLines/>
              <w:spacing w:before="0" w:after="0" w:line="216" w:lineRule="auto"/>
              <w:jc w:val="center"/>
            </w:pPr>
            <w:r>
              <w:rPr>
                <w:sz w:val="18"/>
                <w:szCs w:val="18"/>
              </w:rPr>
              <w:t xml:space="preserve">[S05]</w:t>
            </w:r>
          </w:p>
        </w:tc>
      </w:tr>
      <w:tr>
        <w:trPr>
          <w:cantSplit/>
        </w:trPr>
        <w:tc>
          <w:tcPr>
            <w:tcW w:w="2500" w:type="dxa"/>
            <w:vAlign w:val="center"/>
          </w:tcPr>
          <w:p>
            <w:pPr>
              <w:keepLines/>
              <w:spacing w:before="0" w:after="0" w:line="216" w:lineRule="auto"/>
              <w:jc w:val="left"/>
            </w:pPr>
            <w:r>
              <w:rPr>
                <w:sz w:val="18"/>
                <w:szCs w:val="18"/>
              </w:rPr>
              <w:t xml:space="preserve">哥伦比亚</w:t>
            </w:r>
          </w:p>
        </w:tc>
        <w:tc>
          <w:tcPr>
            <w:tcW w:w="2400" w:type="dxa"/>
            <w:vAlign w:val="center"/>
          </w:tcPr>
          <w:p>
            <w:pPr>
              <w:keepLines/>
              <w:spacing w:before="0" w:after="0" w:line="216" w:lineRule="auto"/>
              <w:jc w:val="left"/>
            </w:pPr>
            <w:r>
              <w:rPr>
                <w:sz w:val="18"/>
                <w:szCs w:val="18"/>
              </w:rPr>
              <w:t xml:space="preserve">互联网使用率</w:t>
            </w:r>
          </w:p>
        </w:tc>
        <w:tc>
          <w:tcPr>
            <w:tcW w:w="1200" w:type="dxa"/>
            <w:vAlign w:val="center"/>
          </w:tcPr>
          <w:p>
            <w:pPr>
              <w:keepLines/>
              <w:spacing w:before="0" w:after="0" w:line="216" w:lineRule="auto"/>
              <w:jc w:val="center"/>
            </w:pPr>
            <w:r>
              <w:rPr>
                <w:sz w:val="18"/>
                <w:szCs w:val="18"/>
              </w:rPr>
              <w:t xml:space="preserve">79.35</w:t>
            </w:r>
          </w:p>
        </w:tc>
        <w:tc>
          <w:tcPr>
            <w:tcW w:w="3260" w:type="dxa"/>
            <w:vAlign w:val="center"/>
          </w:tcPr>
          <w:p>
            <w:pPr>
              <w:keepLines/>
              <w:spacing w:before="0" w:after="0" w:line="216" w:lineRule="auto"/>
              <w:jc w:val="center"/>
            </w:pPr>
            <w:r>
              <w:rPr>
                <w:sz w:val="18"/>
                <w:szCs w:val="18"/>
              </w:rPr>
              <w:t xml:space="preserve">[S04]</w:t>
            </w:r>
          </w:p>
        </w:tc>
      </w:tr>
      <w:tr>
        <w:trPr>
          <w:cantSplit/>
        </w:trPr>
        <w:tc>
          <w:tcPr>
            <w:tcW w:w="2500" w:type="dxa"/>
            <w:vAlign w:val="center"/>
          </w:tcPr>
          <w:p>
            <w:pPr>
              <w:keepLines/>
              <w:spacing w:before="0" w:after="0" w:line="216" w:lineRule="auto"/>
              <w:jc w:val="left"/>
            </w:pPr>
            <w:r>
              <w:rPr>
                <w:sz w:val="18"/>
                <w:szCs w:val="18"/>
              </w:rPr>
              <w:t xml:space="preserve">新加坡</w:t>
            </w:r>
          </w:p>
        </w:tc>
        <w:tc>
          <w:tcPr>
            <w:tcW w:w="2400" w:type="dxa"/>
            <w:vAlign w:val="center"/>
          </w:tcPr>
          <w:p>
            <w:pPr>
              <w:keepLines/>
              <w:spacing w:before="0" w:after="0" w:line="216" w:lineRule="auto"/>
              <w:jc w:val="left"/>
            </w:pPr>
            <w:r>
              <w:rPr>
                <w:sz w:val="18"/>
                <w:szCs w:val="18"/>
              </w:rPr>
              <w:t xml:space="preserve">互联网使用率</w:t>
            </w:r>
          </w:p>
        </w:tc>
        <w:tc>
          <w:tcPr>
            <w:tcW w:w="1200" w:type="dxa"/>
            <w:vAlign w:val="center"/>
          </w:tcPr>
          <w:p>
            <w:pPr>
              <w:keepLines/>
              <w:spacing w:before="0" w:after="0" w:line="216" w:lineRule="auto"/>
              <w:jc w:val="center"/>
            </w:pPr>
            <w:r>
              <w:rPr>
                <w:sz w:val="18"/>
                <w:szCs w:val="18"/>
              </w:rPr>
              <w:t xml:space="preserve">94.38</w:t>
            </w:r>
          </w:p>
        </w:tc>
        <w:tc>
          <w:tcPr>
            <w:tcW w:w="3260" w:type="dxa"/>
            <w:vAlign w:val="center"/>
          </w:tcPr>
          <w:p>
            <w:pPr>
              <w:keepLines/>
              <w:spacing w:before="0" w:after="0" w:line="216" w:lineRule="auto"/>
              <w:jc w:val="center"/>
            </w:pPr>
            <w:r>
              <w:rPr>
                <w:sz w:val="18"/>
                <w:szCs w:val="18"/>
              </w:rPr>
              <w:t xml:space="preserve">[S02]</w:t>
            </w:r>
          </w:p>
        </w:tc>
      </w:tr>
      <w:tr>
        <w:trPr>
          <w:cantSplit/>
        </w:trPr>
        <w:tc>
          <w:tcPr>
            <w:tcW w:w="2500" w:type="dxa"/>
            <w:vAlign w:val="center"/>
          </w:tcPr>
          <w:p>
            <w:pPr>
              <w:keepLines/>
              <w:spacing w:before="0" w:after="0" w:line="216" w:lineRule="auto"/>
              <w:jc w:val="left"/>
            </w:pPr>
            <w:r>
              <w:rPr>
                <w:sz w:val="18"/>
                <w:szCs w:val="18"/>
              </w:rPr>
              <w:t xml:space="preserve">世界汇总(参照)</w:t>
            </w:r>
          </w:p>
        </w:tc>
        <w:tc>
          <w:tcPr>
            <w:tcW w:w="2400" w:type="dxa"/>
            <w:vAlign w:val="center"/>
          </w:tcPr>
          <w:p>
            <w:pPr>
              <w:keepLines/>
              <w:spacing w:before="0" w:after="0" w:line="216" w:lineRule="auto"/>
              <w:jc w:val="left"/>
            </w:pPr>
            <w:r>
              <w:rPr>
                <w:sz w:val="18"/>
                <w:szCs w:val="18"/>
              </w:rPr>
              <w:t xml:space="preserve">互联网使用率</w:t>
            </w:r>
          </w:p>
        </w:tc>
        <w:tc>
          <w:tcPr>
            <w:tcW w:w="1200" w:type="dxa"/>
            <w:vAlign w:val="center"/>
          </w:tcPr>
          <w:p>
            <w:pPr>
              <w:keepLines/>
              <w:spacing w:before="0" w:after="0" w:line="216" w:lineRule="auto"/>
              <w:jc w:val="center"/>
            </w:pPr>
            <w:r>
              <w:rPr>
                <w:sz w:val="18"/>
                <w:szCs w:val="18"/>
              </w:rPr>
              <w:t xml:space="preserve">71.20</w:t>
            </w:r>
          </w:p>
        </w:tc>
        <w:tc>
          <w:tcPr>
            <w:tcW w:w="3260" w:type="dxa"/>
            <w:vAlign w:val="center"/>
          </w:tcPr>
          <w:p>
            <w:pPr>
              <w:keepLines/>
              <w:spacing w:before="0" w:after="0" w:line="216" w:lineRule="auto"/>
              <w:jc w:val="center"/>
            </w:pPr>
            <w:r>
              <w:rPr>
                <w:sz w:val="18"/>
                <w:szCs w:val="18"/>
              </w:rPr>
              <w:t xml:space="preserve">[S03]</w:t>
            </w:r>
          </w:p>
        </w:tc>
      </w:tr>
    </w:tbl>
    <w:p>
      <w:pPr/>
    </w:p>
    <w:p>
      <w:pPr>
        <w:pStyle w:val="Heading1"/>
        <w:keepNext/>
        <w:keepLines/>
        <w:pageBreakBefore/>
      </w:pPr>
      <w:r>
        <w:t xml:space="preserve">横截面分析</w:t>
      </w:r>
    </w:p>
    <w:p>
      <w:pPr/>
      <w:r>
        <w:t xml:space="preserve">中国的原始值为92，展示为92.00%。它描述该指标在中国2024年的水平。不能从这个数值直接判断基础设施已经全面覆盖，也不能断定剩余人群没有网络可用；使用行为与连接条件不是同一变量。要回答城乡、年龄或收入群体差异，需要这些维度的直接数据，本次国家汇总没有提供相应分组。 [S05]</w:t>
      </w:r>
    </w:p>
    <w:p>
      <w:pPr/>
      <w:r>
        <w:t xml:space="preserve">哥伦比亚的原始值为79.34543299，展示为79.35%。它低于另外两个入选国家、高于世界汇总参照。这一相对位置是四项观测的算术结果，不是对拉美整体的判断。仅凭本指标无法确认地理条件、收入、价格、教育或政策分别贡献了多少差距，因而本报告不为这些潜在原因附加未经验证的解释。 [S04]</w:t>
      </w:r>
    </w:p>
    <w:p>
      <w:pPr/>
      <w:r>
        <w:t xml:space="preserve">新加坡的原始值为94.37757178，展示为94.38%，在本次三国样本中最高。“样本中最高”不等于“全球第一”。本次没有读取全部国家的同期记录，也没有检验其他数字化维度，不能据此形成全球竞争力排行。较高的使用比例仍不回答使用是否稳定、是否可负担、是否有效以及群体之间是否均衡。 [S02]</w:t>
      </w:r>
    </w:p>
    <w:p>
      <w:pPr/>
      <w:r>
        <w:t xml:space="preserve">世界汇总原始值为71.2，展示为71.20%。它在报告中承担参照作用，不是与国家具有相同性质的观察对象。本次保留了世界银行发布的汇总结果，没有利用三国数值重新构造它，也没有在缺少汇总权重和完整底层样本时声称复算成功。阅读时应先区分国家值与汇总值，再判断数值之间的距离。 [S03]</w:t>
      </w:r>
    </w:p>
    <w:tbl>
      <w:tblPr>
        <w:tblW w:w="9360" w:type="dxa"/>
        <w:tblLayout w:type="fixed"/>
        <w:tblInd w:w="0" w:type="dxa"/>
        <w:tblCellMar>
          <w:top w:w="55" w:type="dxa"/>
          <w:left w:w="55" w:type="dxa"/>
          <w:bottom w:w="55" w:type="dxa"/>
          <w:right w:w="55" w:type="dxa"/>
        </w:tblCellMar>
        <w:tblBorders>
          <w:top w:val="single" w:sz="4" w:color="D9D9D9"/>
          <w:left w:val="single" w:sz="4" w:color="D9D9D9"/>
          <w:bottom w:val="single" w:sz="4" w:color="D9D9D9"/>
          <w:right w:val="single" w:sz="4" w:color="D9D9D9"/>
          <w:insideH w:val="single" w:sz="2" w:color="D9D9D9"/>
          <w:insideV w:val="single" w:sz="2" w:color="D9D9D9"/>
        </w:tblBorders>
      </w:tblPr>
      <w:tblGrid>
        <w:gridCol w:w="2520"/>
        <w:gridCol w:w="2160"/>
        <w:gridCol w:w="3180"/>
        <w:gridCol w:w="1500"/>
      </w:tblGrid>
      <w:tr>
        <w:trPr>
          <w:tblHeader/>
          <w:cantSplit/>
        </w:trPr>
        <w:tc>
          <w:tcPr>
            <w:tcW w:w="2520" w:type="dxa"/>
            <w:vAlign w:val="center"/>
            <w:shd w:fill="F2F2F2"/>
          </w:tcPr>
          <w:p>
            <w:pPr>
              <w:keepLines/>
              <w:spacing w:before="0" w:after="0" w:line="192" w:lineRule="auto"/>
              <w:jc w:val="left"/>
            </w:pPr>
            <w:r>
              <w:rPr>
                <w:b/>
                <w:sz w:val="16"/>
                <w:szCs w:val="16"/>
              </w:rPr>
              <w:t xml:space="preserve">度量</w:t>
            </w:r>
          </w:p>
        </w:tc>
        <w:tc>
          <w:tcPr>
            <w:tcW w:w="2160" w:type="dxa"/>
            <w:vAlign w:val="center"/>
            <w:shd w:fill="F2F2F2"/>
          </w:tcPr>
          <w:p>
            <w:pPr>
              <w:keepLines/>
              <w:spacing w:before="0" w:after="0" w:line="192" w:lineRule="auto"/>
              <w:jc w:val="center"/>
            </w:pPr>
            <w:r>
              <w:rPr>
                <w:b/>
                <w:sz w:val="16"/>
                <w:szCs w:val="16"/>
              </w:rPr>
              <w:t xml:space="preserve">结果</w:t>
            </w:r>
          </w:p>
        </w:tc>
        <w:tc>
          <w:tcPr>
            <w:tcW w:w="3180" w:type="dxa"/>
            <w:vAlign w:val="center"/>
            <w:shd w:fill="F2F2F2"/>
          </w:tcPr>
          <w:p>
            <w:pPr>
              <w:keepLines/>
              <w:spacing w:before="0" w:after="0" w:line="192" w:lineRule="auto"/>
              <w:jc w:val="left"/>
            </w:pPr>
            <w:r>
              <w:rPr>
                <w:b/>
                <w:sz w:val="16"/>
                <w:szCs w:val="16"/>
              </w:rPr>
              <w:t xml:space="preserve">依据</w:t>
            </w:r>
          </w:p>
        </w:tc>
        <w:tc>
          <w:tcPr>
            <w:tcW w:w="1500" w:type="dxa"/>
            <w:vAlign w:val="center"/>
            <w:shd w:fill="F2F2F2"/>
          </w:tcPr>
          <w:p>
            <w:pPr>
              <w:keepLines/>
              <w:spacing w:before="0" w:after="0" w:line="192" w:lineRule="auto"/>
              <w:jc w:val="center"/>
            </w:pPr>
            <w:r>
              <w:rPr>
                <w:b/>
                <w:sz w:val="16"/>
                <w:szCs w:val="16"/>
              </w:rPr>
              <w:t xml:space="preserve">来源</w:t>
            </w:r>
          </w:p>
        </w:tc>
      </w:tr>
      <w:tr>
        <w:trPr>
          <w:cantSplit/>
        </w:trPr>
        <w:tc>
          <w:tcPr>
            <w:tcW w:w="2520" w:type="dxa"/>
            <w:vAlign w:val="center"/>
          </w:tcPr>
          <w:p>
            <w:pPr>
              <w:keepLines/>
              <w:spacing w:before="0" w:after="0" w:line="192" w:lineRule="auto"/>
              <w:jc w:val="left"/>
            </w:pPr>
            <w:r>
              <w:rPr>
                <w:sz w:val="16"/>
                <w:szCs w:val="16"/>
              </w:rPr>
              <w:t xml:space="preserve">范围</w:t>
            </w:r>
          </w:p>
        </w:tc>
        <w:tc>
          <w:tcPr>
            <w:tcW w:w="2160" w:type="dxa"/>
            <w:vAlign w:val="center"/>
          </w:tcPr>
          <w:p>
            <w:pPr>
              <w:keepLines/>
              <w:spacing w:before="0" w:after="0" w:line="192" w:lineRule="auto"/>
              <w:jc w:val="center"/>
            </w:pPr>
            <w:r>
              <w:rPr>
                <w:sz w:val="16"/>
                <w:szCs w:val="16"/>
              </w:rPr>
              <w:t xml:space="preserve">15.03 个百分点</w:t>
            </w:r>
          </w:p>
        </w:tc>
        <w:tc>
          <w:tcPr>
            <w:tcW w:w="3180" w:type="dxa"/>
            <w:vAlign w:val="center"/>
          </w:tcPr>
          <w:p>
            <w:pPr>
              <w:keepLines/>
              <w:spacing w:before="0" w:after="0" w:line="192" w:lineRule="auto"/>
              <w:jc w:val="left"/>
            </w:pPr>
            <w:r>
              <w:rPr>
                <w:sz w:val="16"/>
                <w:szCs w:val="16"/>
              </w:rPr>
              <w:t xml:space="preserve">79.35% 至 94.38%</w:t>
            </w:r>
          </w:p>
        </w:tc>
        <w:tc>
          <w:tcPr>
            <w:tcW w:w="1500" w:type="dxa"/>
            <w:vAlign w:val="center"/>
          </w:tcPr>
          <w:p>
            <w:pPr>
              <w:keepLines/>
              <w:spacing w:before="0" w:after="0" w:line="192" w:lineRule="auto"/>
              <w:jc w:val="center"/>
            </w:pPr>
            <w:r>
              <w:rPr>
                <w:sz w:val="16"/>
                <w:szCs w:val="16"/>
              </w:rPr>
              <w:t xml:space="preserve">[S05][S04][S02]</w:t>
            </w:r>
          </w:p>
        </w:tc>
      </w:tr>
      <w:tr>
        <w:trPr>
          <w:cantSplit/>
        </w:trPr>
        <w:tc>
          <w:tcPr>
            <w:tcW w:w="2520" w:type="dxa"/>
            <w:vAlign w:val="center"/>
          </w:tcPr>
          <w:p>
            <w:pPr>
              <w:keepLines/>
              <w:spacing w:before="0" w:after="0" w:line="192" w:lineRule="auto"/>
              <w:jc w:val="left"/>
            </w:pPr>
            <w:r>
              <w:rPr>
                <w:sz w:val="16"/>
                <w:szCs w:val="16"/>
              </w:rPr>
              <w:t xml:space="preserve">均值</w:t>
            </w:r>
          </w:p>
        </w:tc>
        <w:tc>
          <w:tcPr>
            <w:tcW w:w="2160" w:type="dxa"/>
            <w:vAlign w:val="center"/>
          </w:tcPr>
          <w:p>
            <w:pPr>
              <w:keepLines/>
              <w:spacing w:before="0" w:after="0" w:line="192" w:lineRule="auto"/>
              <w:jc w:val="center"/>
            </w:pPr>
            <w:r>
              <w:rPr>
                <w:sz w:val="16"/>
                <w:szCs w:val="16"/>
              </w:rPr>
              <w:t xml:space="preserve">88.57%</w:t>
            </w:r>
          </w:p>
        </w:tc>
        <w:tc>
          <w:tcPr>
            <w:tcW w:w="3180" w:type="dxa"/>
            <w:vAlign w:val="center"/>
          </w:tcPr>
          <w:p>
            <w:pPr>
              <w:keepLines/>
              <w:spacing w:before="0" w:after="0" w:line="192" w:lineRule="auto"/>
              <w:jc w:val="left"/>
            </w:pPr>
            <w:r>
              <w:rPr>
                <w:sz w:val="16"/>
                <w:szCs w:val="16"/>
              </w:rPr>
              <w:t xml:space="preserve">3 项观测</w:t>
            </w:r>
          </w:p>
        </w:tc>
        <w:tc>
          <w:tcPr>
            <w:tcW w:w="1500" w:type="dxa"/>
            <w:vAlign w:val="center"/>
          </w:tcPr>
          <w:p>
            <w:pPr>
              <w:keepLines/>
              <w:spacing w:before="0" w:after="0" w:line="192" w:lineRule="auto"/>
              <w:jc w:val="center"/>
            </w:pPr>
            <w:r>
              <w:rPr>
                <w:sz w:val="16"/>
                <w:szCs w:val="16"/>
              </w:rPr>
              <w:t xml:space="preserve">[S05][S04][S02]</w:t>
            </w:r>
          </w:p>
        </w:tc>
      </w:tr>
      <w:tr>
        <w:trPr>
          <w:cantSplit/>
        </w:trPr>
        <w:tc>
          <w:tcPr>
            <w:tcW w:w="2520" w:type="dxa"/>
            <w:vAlign w:val="center"/>
          </w:tcPr>
          <w:p>
            <w:pPr>
              <w:keepLines/>
              <w:spacing w:before="0" w:after="0" w:line="192" w:lineRule="auto"/>
              <w:jc w:val="left"/>
            </w:pPr>
            <w:r>
              <w:rPr>
                <w:sz w:val="16"/>
                <w:szCs w:val="16"/>
              </w:rPr>
              <w:t xml:space="preserve">中位数</w:t>
            </w:r>
          </w:p>
        </w:tc>
        <w:tc>
          <w:tcPr>
            <w:tcW w:w="2160" w:type="dxa"/>
            <w:vAlign w:val="center"/>
          </w:tcPr>
          <w:p>
            <w:pPr>
              <w:keepLines/>
              <w:spacing w:before="0" w:after="0" w:line="192" w:lineRule="auto"/>
              <w:jc w:val="center"/>
            </w:pPr>
            <w:r>
              <w:rPr>
                <w:sz w:val="16"/>
                <w:szCs w:val="16"/>
              </w:rPr>
              <w:t xml:space="preserve">92.00%</w:t>
            </w:r>
          </w:p>
        </w:tc>
        <w:tc>
          <w:tcPr>
            <w:tcW w:w="3180" w:type="dxa"/>
            <w:vAlign w:val="center"/>
          </w:tcPr>
          <w:p>
            <w:pPr>
              <w:keepLines/>
              <w:spacing w:before="0" w:after="0" w:line="192" w:lineRule="auto"/>
              <w:jc w:val="left"/>
            </w:pPr>
            <w:r>
              <w:rPr>
                <w:sz w:val="16"/>
                <w:szCs w:val="16"/>
              </w:rPr>
              <w:t xml:space="preserve">中间观测</w:t>
            </w:r>
          </w:p>
        </w:tc>
        <w:tc>
          <w:tcPr>
            <w:tcW w:w="1500" w:type="dxa"/>
            <w:vAlign w:val="center"/>
          </w:tcPr>
          <w:p>
            <w:pPr>
              <w:keepLines/>
              <w:spacing w:before="0" w:after="0" w:line="192" w:lineRule="auto"/>
              <w:jc w:val="center"/>
            </w:pPr>
            <w:r>
              <w:rPr>
                <w:sz w:val="16"/>
                <w:szCs w:val="16"/>
              </w:rPr>
              <w:t xml:space="preserve">[S05][S04][S02]</w:t>
            </w:r>
          </w:p>
        </w:tc>
      </w:tr>
      <w:tr>
        <w:trPr>
          <w:cantSplit/>
        </w:trPr>
        <w:tc>
          <w:tcPr>
            <w:tcW w:w="2520" w:type="dxa"/>
            <w:vAlign w:val="center"/>
          </w:tcPr>
          <w:p>
            <w:pPr>
              <w:keepLines/>
              <w:spacing w:before="0" w:after="0" w:line="192" w:lineRule="auto"/>
              <w:jc w:val="left"/>
            </w:pPr>
            <w:r>
              <w:rPr>
                <w:sz w:val="16"/>
                <w:szCs w:val="16"/>
              </w:rPr>
              <w:t xml:space="preserve">最高值</w:t>
            </w:r>
          </w:p>
        </w:tc>
        <w:tc>
          <w:tcPr>
            <w:tcW w:w="2160" w:type="dxa"/>
            <w:vAlign w:val="center"/>
          </w:tcPr>
          <w:p>
            <w:pPr>
              <w:keepLines/>
              <w:spacing w:before="0" w:after="0" w:line="192" w:lineRule="auto"/>
              <w:jc w:val="center"/>
            </w:pPr>
            <w:r>
              <w:rPr>
                <w:sz w:val="16"/>
                <w:szCs w:val="16"/>
              </w:rPr>
              <w:t xml:space="preserve">新加坡 94.38%</w:t>
            </w:r>
          </w:p>
        </w:tc>
        <w:tc>
          <w:tcPr>
            <w:tcW w:w="3180" w:type="dxa"/>
            <w:vAlign w:val="center"/>
          </w:tcPr>
          <w:p>
            <w:pPr>
              <w:keepLines/>
              <w:spacing w:before="0" w:after="0" w:line="192" w:lineRule="auto"/>
              <w:jc w:val="left"/>
            </w:pPr>
            <w:r>
              <w:rPr>
                <w:sz w:val="16"/>
                <w:szCs w:val="16"/>
              </w:rPr>
              <w:t xml:space="preserve">报告值中的最大值</w:t>
            </w:r>
          </w:p>
        </w:tc>
        <w:tc>
          <w:tcPr>
            <w:tcW w:w="1500" w:type="dxa"/>
            <w:vAlign w:val="center"/>
          </w:tcPr>
          <w:p>
            <w:pPr>
              <w:keepLines/>
              <w:spacing w:before="0" w:after="0" w:line="192" w:lineRule="auto"/>
              <w:jc w:val="center"/>
            </w:pPr>
            <w:r>
              <w:rPr>
                <w:sz w:val="16"/>
                <w:szCs w:val="16"/>
              </w:rPr>
              <w:t xml:space="preserve">[S02]</w:t>
            </w:r>
          </w:p>
        </w:tc>
      </w:tr>
      <w:tr>
        <w:trPr>
          <w:cantSplit/>
        </w:trPr>
        <w:tc>
          <w:tcPr>
            <w:tcW w:w="2520" w:type="dxa"/>
            <w:vAlign w:val="center"/>
          </w:tcPr>
          <w:p>
            <w:pPr>
              <w:keepLines/>
              <w:spacing w:before="0" w:after="0" w:line="192" w:lineRule="auto"/>
              <w:jc w:val="left"/>
            </w:pPr>
            <w:r>
              <w:rPr>
                <w:sz w:val="16"/>
                <w:szCs w:val="16"/>
              </w:rPr>
              <w:t xml:space="preserve">中国与世界比较</w:t>
            </w:r>
          </w:p>
        </w:tc>
        <w:tc>
          <w:tcPr>
            <w:tcW w:w="2160" w:type="dxa"/>
            <w:vAlign w:val="center"/>
          </w:tcPr>
          <w:p>
            <w:pPr>
              <w:keepLines/>
              <w:spacing w:before="0" w:after="0" w:line="192" w:lineRule="auto"/>
              <w:jc w:val="center"/>
            </w:pPr>
            <w:r>
              <w:rPr>
                <w:sz w:val="16"/>
                <w:szCs w:val="16"/>
              </w:rPr>
              <w:t xml:space="preserve">+20.80 个百分点</w:t>
            </w:r>
          </w:p>
        </w:tc>
        <w:tc>
          <w:tcPr>
            <w:tcW w:w="3180" w:type="dxa"/>
            <w:vAlign w:val="center"/>
          </w:tcPr>
          <w:p>
            <w:pPr>
              <w:keepLines/>
              <w:spacing w:before="0" w:after="0" w:line="192" w:lineRule="auto"/>
              <w:jc w:val="left"/>
            </w:pPr>
            <w:r>
              <w:rPr>
                <w:sz w:val="16"/>
                <w:szCs w:val="16"/>
              </w:rPr>
              <w:t xml:space="preserve">92.00% 与 71.20% 比较</w:t>
            </w:r>
          </w:p>
        </w:tc>
        <w:tc>
          <w:tcPr>
            <w:tcW w:w="1500" w:type="dxa"/>
            <w:vAlign w:val="center"/>
          </w:tcPr>
          <w:p>
            <w:pPr>
              <w:keepLines/>
              <w:spacing w:before="0" w:after="0" w:line="192" w:lineRule="auto"/>
              <w:jc w:val="center"/>
            </w:pPr>
            <w:r>
              <w:rPr>
                <w:sz w:val="16"/>
                <w:szCs w:val="16"/>
              </w:rPr>
              <w:t xml:space="preserve">[S03][S05]</w:t>
            </w:r>
          </w:p>
        </w:tc>
      </w:tr>
      <w:tr>
        <w:trPr>
          <w:cantSplit/>
        </w:trPr>
        <w:tc>
          <w:tcPr>
            <w:tcW w:w="2520" w:type="dxa"/>
            <w:vAlign w:val="center"/>
          </w:tcPr>
          <w:p>
            <w:pPr>
              <w:keepLines/>
              <w:spacing w:before="0" w:after="0" w:line="192" w:lineRule="auto"/>
              <w:jc w:val="left"/>
            </w:pPr>
            <w:r>
              <w:rPr>
                <w:sz w:val="16"/>
                <w:szCs w:val="16"/>
              </w:rPr>
              <w:t xml:space="preserve">哥伦比亚与世界比较</w:t>
            </w:r>
          </w:p>
        </w:tc>
        <w:tc>
          <w:tcPr>
            <w:tcW w:w="2160" w:type="dxa"/>
            <w:vAlign w:val="center"/>
          </w:tcPr>
          <w:p>
            <w:pPr>
              <w:keepLines/>
              <w:spacing w:before="0" w:after="0" w:line="192" w:lineRule="auto"/>
              <w:jc w:val="center"/>
            </w:pPr>
            <w:r>
              <w:rPr>
                <w:sz w:val="16"/>
                <w:szCs w:val="16"/>
              </w:rPr>
              <w:t xml:space="preserve">+8.15 个百分点</w:t>
            </w:r>
          </w:p>
        </w:tc>
        <w:tc>
          <w:tcPr>
            <w:tcW w:w="3180" w:type="dxa"/>
            <w:vAlign w:val="center"/>
          </w:tcPr>
          <w:p>
            <w:pPr>
              <w:keepLines/>
              <w:spacing w:before="0" w:after="0" w:line="192" w:lineRule="auto"/>
              <w:jc w:val="left"/>
            </w:pPr>
            <w:r>
              <w:rPr>
                <w:sz w:val="16"/>
                <w:szCs w:val="16"/>
              </w:rPr>
              <w:t xml:space="preserve">79.35% 与 71.20% 比较</w:t>
            </w:r>
          </w:p>
        </w:tc>
        <w:tc>
          <w:tcPr>
            <w:tcW w:w="1500" w:type="dxa"/>
            <w:vAlign w:val="center"/>
          </w:tcPr>
          <w:p>
            <w:pPr>
              <w:keepLines/>
              <w:spacing w:before="0" w:after="0" w:line="192" w:lineRule="auto"/>
              <w:jc w:val="center"/>
            </w:pPr>
            <w:r>
              <w:rPr>
                <w:sz w:val="16"/>
                <w:szCs w:val="16"/>
              </w:rPr>
              <w:t xml:space="preserve">[S03][S04]</w:t>
            </w:r>
          </w:p>
        </w:tc>
      </w:tr>
      <w:tr>
        <w:trPr>
          <w:cantSplit/>
        </w:trPr>
        <w:tc>
          <w:tcPr>
            <w:tcW w:w="2520" w:type="dxa"/>
            <w:vAlign w:val="center"/>
          </w:tcPr>
          <w:p>
            <w:pPr>
              <w:keepLines/>
              <w:spacing w:before="0" w:after="0" w:line="192" w:lineRule="auto"/>
              <w:jc w:val="left"/>
            </w:pPr>
            <w:r>
              <w:rPr>
                <w:sz w:val="16"/>
                <w:szCs w:val="16"/>
              </w:rPr>
              <w:t xml:space="preserve">新加坡与世界比较</w:t>
            </w:r>
          </w:p>
        </w:tc>
        <w:tc>
          <w:tcPr>
            <w:tcW w:w="2160" w:type="dxa"/>
            <w:vAlign w:val="center"/>
          </w:tcPr>
          <w:p>
            <w:pPr>
              <w:keepLines/>
              <w:spacing w:before="0" w:after="0" w:line="192" w:lineRule="auto"/>
              <w:jc w:val="center"/>
            </w:pPr>
            <w:r>
              <w:rPr>
                <w:sz w:val="16"/>
                <w:szCs w:val="16"/>
              </w:rPr>
              <w:t xml:space="preserve">+23.18 个百分点</w:t>
            </w:r>
          </w:p>
        </w:tc>
        <w:tc>
          <w:tcPr>
            <w:tcW w:w="3180" w:type="dxa"/>
            <w:vAlign w:val="center"/>
          </w:tcPr>
          <w:p>
            <w:pPr>
              <w:keepLines/>
              <w:spacing w:before="0" w:after="0" w:line="192" w:lineRule="auto"/>
              <w:jc w:val="left"/>
            </w:pPr>
            <w:r>
              <w:rPr>
                <w:sz w:val="16"/>
                <w:szCs w:val="16"/>
              </w:rPr>
              <w:t xml:space="preserve">94.38% 与 71.20% 比较</w:t>
            </w:r>
          </w:p>
        </w:tc>
        <w:tc>
          <w:tcPr>
            <w:tcW w:w="1500" w:type="dxa"/>
            <w:vAlign w:val="center"/>
          </w:tcPr>
          <w:p>
            <w:pPr>
              <w:keepLines/>
              <w:spacing w:before="0" w:after="0" w:line="192" w:lineRule="auto"/>
              <w:jc w:val="center"/>
            </w:pPr>
            <w:r>
              <w:rPr>
                <w:sz w:val="16"/>
                <w:szCs w:val="16"/>
              </w:rPr>
              <w:t xml:space="preserve">[S03][S02]</w:t>
            </w:r>
          </w:p>
        </w:tc>
      </w:tr>
    </w:tbl>
    <w:p>
      <w:pPr/>
    </w:p>
    <w:p>
      <w:pPr>
        <w:pStyle w:val="Heading2"/>
        <w:keepNext/>
        <w:keepLines/>
      </w:pPr>
      <w:r>
        <w:t xml:space="preserve">决策用途</w:t>
      </w:r>
    </w:p>
    <w:p>
      <w:pPr/>
      <w:r>
        <w:t xml:space="preserve">决策用途：保留 3 项比较观测及 1 项世界汇总(参照)独立基准，连同指标定义、地区、单位和引用作为 2024 年基线。世界仅作基准，不纳入比较汇总统计。使用差值制定目标或分配资源前，指定复核者确认这些字段仍具可比性。</w:t>
      </w:r>
    </w:p>
    <w:p>
      <w:pPr/>
      <w:r>
        <w:t xml:space="preserve">报告值或定义变化时重新计算表格。使用差值提出验证问题，不据此声称国家表现排名或时间变化。</w:t>
      </w:r>
    </w:p>
    <w:p>
      <w:pPr>
        <w:pStyle w:val="Heading2"/>
        <w:keepNext/>
        <w:keepLines/>
      </w:pPr>
      <w:r>
        <w:t xml:space="preserve">行动建议</w:t>
      </w:r>
    </w:p>
    <w:p>
      <w:pPr>
        <w:pStyle w:val="Heading2"/>
        <w:keepNext/>
        <w:keepLines/>
        <w:keepNext/>
        <w:keepLines/>
        <w:spacing w:before="100" w:after="50"/>
      </w:pPr>
      <w:r>
        <w:t xml:space="preserve">1. 归档原始观测与来源，展示值取整但不覆盖底层数据。 [S04] [S02]</w:t>
      </w:r>
    </w:p>
    <w:p>
      <w:pPr>
        <w:keepNext/>
        <w:keepLines/>
        <w:spacing w:after="80"/>
      </w:pPr>
      <w:r>
        <w:t xml:space="preserve">哥伦比亚与新加坡的原值带有小数；原始精度不代表统计准确性，保留原值便于复核。</w:t>
      </w:r>
    </w:p>
    <w:p>
      <w:pPr>
        <w:pStyle w:val="Cite"/>
        <w:keepLines/>
        <w:spacing w:after="60"/>
      </w:pPr>
      <w:r>
        <w:t xml:space="preserve">数据分析负责人:归档指标代码、2024年原值、读取时间及官方链接。</w:t>
      </w:r>
    </w:p>
    <w:p>
      <w:pPr>
        <w:pStyle w:val="Heading2"/>
        <w:keepNext/>
        <w:keepLines/>
        <w:keepNext/>
        <w:keepLines/>
        <w:spacing w:before="100" w:after="50"/>
      </w:pPr>
      <w:r>
        <w:t xml:space="preserve">2. 把世界汇总作为独立参照，不纳入三国平均。 [S03]</w:t>
      </w:r>
    </w:p>
    <w:p>
      <w:pPr>
        <w:keepNext/>
        <w:keepLines/>
        <w:spacing w:after="80"/>
      </w:pPr>
      <w:r>
        <w:t xml:space="preserve">WLD是世界银行发布的汇总记录，不是第四个国家。</w:t>
      </w:r>
    </w:p>
    <w:p>
      <w:pPr>
        <w:pStyle w:val="Cite"/>
        <w:keepLines/>
        <w:spacing w:after="60"/>
      </w:pPr>
      <w:r>
        <w:t xml:space="preserve">图表负责人:保留71.20%的参照线及“世界汇总参照”标签。</w:t>
      </w:r>
    </w:p>
    <w:p>
      <w:pPr>
        <w:pStyle w:val="Heading2"/>
        <w:keepNext/>
        <w:keepLines/>
        <w:keepNext/>
        <w:keepLines/>
        <w:spacing w:before="100" w:after="50"/>
      </w:pPr>
      <w:r>
        <w:t xml:space="preserve">3. 在决策材料中保留指标定义与非因果边界。 [S01]</w:t>
      </w:r>
    </w:p>
    <w:p>
      <w:pPr>
        <w:keepNext/>
        <w:keepLines/>
        <w:spacing w:after="80"/>
      </w:pPr>
      <w:r>
        <w:t xml:space="preserve">是否使用互联网不等于接入质量、价格、技能或政策效果。</w:t>
      </w:r>
    </w:p>
    <w:p>
      <w:pPr>
        <w:pStyle w:val="Cite"/>
        <w:keepLines/>
        <w:spacing w:after="60"/>
      </w:pPr>
      <w:r>
        <w:t xml:space="preserve">战略负责人:任何投资排序或效果判断另立证据要求，不从本图直接推导。</w:t>
      </w:r>
    </w:p>
    <w:p>
      <w:pPr>
        <w:pStyle w:val="Heading2"/>
        <w:keepNext/>
        <w:keepLines/>
        <w:keepNext/>
        <w:keepLines/>
        <w:spacing w:before="100" w:after="50"/>
      </w:pPr>
      <w:r>
        <w:t xml:space="preserve">4. 需要判断变化趋势时，另取连续年份并核对版本。 [S05] [S04] [S02] [S03]</w:t>
      </w:r>
    </w:p>
    <w:p>
      <w:pPr>
        <w:keepNext/>
        <w:keepLines/>
        <w:spacing w:after="80"/>
      </w:pPr>
      <w:r>
        <w:t xml:space="preserve">本次四项数值仅覆盖2024年，不能描述上升或下降。</w:t>
      </w:r>
    </w:p>
    <w:p>
      <w:pPr>
        <w:pStyle w:val="Cite"/>
        <w:keepLines/>
        <w:spacing w:after="60"/>
      </w:pPr>
      <w:r>
        <w:t xml:space="preserve">研究负责人:补取同指标连续年份，再检查缺失、更新和修订记录。</w:t>
      </w:r>
    </w:p>
    <w:p>
      <w:pPr>
        <w:pStyle w:val="Heading2"/>
        <w:keepNext/>
        <w:keepLines/>
        <w:keepNext/>
        <w:keepLines/>
        <w:spacing w:before="100" w:after="50"/>
      </w:pPr>
      <w:r>
        <w:t xml:space="preserve">5. 需要解释国家内部差异时，补充可比的群体分组。 [S05] [S04] [S02]</w:t>
      </w:r>
    </w:p>
    <w:p>
      <w:pPr>
        <w:keepNext/>
        <w:keepLines/>
        <w:spacing w:after="80"/>
      </w:pPr>
      <w:r>
        <w:t xml:space="preserve">当前国家汇总值不能直接说明城乡、年龄或收入群体差异。</w:t>
      </w:r>
    </w:p>
    <w:p>
      <w:pPr>
        <w:pStyle w:val="Cite"/>
        <w:keepLines/>
        <w:spacing w:after="60"/>
      </w:pPr>
      <w:r>
        <w:t xml:space="preserve">研究负责人:另查城乡、年龄、收入、连接质量与可负担性；未取得数据前保持缺口。</w:t>
      </w:r>
    </w:p>
    <w:p>
      <w:pPr>
        <w:pStyle w:val="Heading2"/>
        <w:keepNext/>
        <w:keepLines/>
        <w:keepNext/>
        <w:keepLines/>
        <w:spacing w:before="100" w:after="50"/>
      </w:pPr>
      <w:r>
        <w:t xml:space="preserve">局限性与不确定性</w:t>
      </w:r>
    </w:p>
    <w:p>
      <w:pPr>
        <w:keepNext/>
        <w:keepLines/>
        <w:spacing w:after="40"/>
      </w:pPr>
      <w:r>
        <w:t xml:space="preserve">本轮仅有同年国家及世界汇总观测，未提供连续年份、国家内部人群分组、价格、技能或连接质量数据。因此不能回答变化趋势、政策因果、城乡差异、商业转化或可进入市场规模。对这些问题，本报告明确保留缺口，不借用与主题相似的搜索结果填补。缺口的存在不使已读取的原值失效，但限制了可以作出的结论。 [S01]</w:t>
      </w:r>
    </w:p>
    <w:p>
      <w:pPr>
        <w:keepNext/>
        <w:keepLines/>
        <w:spacing w:after="40"/>
      </w:pPr>
      <w:r>
        <w:t xml:space="preserve">统一指标代码和单位是横向比较的必要条件，并不自动证明各国调查操作、抽样与修订过程完全相同。本次没有逐一核验这些实施细节，也没有估计误差区间，不将小数位数量解释为统计准确性。若后续决策对细微差距敏感，应继续查阅各国方法说明和世界银行的更新记录，而不是仅依据排序判断优劣。 [S01]</w:t>
      </w:r>
    </w:p>
    <w:p>
      <w:pPr>
        <w:numPr>
          <w:ilvl w:val="0"/>
          <w:numId w:val="2"/>
        </w:numPr>
      </w:pPr>
      <w:r>
        <w:t xml:space="preserve">比较汇总统计仅纳入 3 项非世界观测；世界作为独立基准保留。其他保留的报告材料不纳入这些指标。</w:t>
      </w:r>
    </w:p>
    <w:p>
      <w:pPr>
        <w:pStyle w:val="Heading2"/>
        <w:keepNext/>
        <w:keepLines/>
      </w:pPr>
      <w:r>
        <w:t xml:space="preserve">可执行结论</w:t>
      </w:r>
    </w:p>
    <w:p>
      <w:pPr/>
      <w:r>
        <w:t xml:space="preserve">2024年这组三国观测均高于世界汇总参照；新加坡、中国、哥伦比亚的样本内次序可以由原值复核。报告的可交付结论到这里为止:同年使用水平、可重算的差距、明确的指标边界与后续证据需求。任何更宽泛的基础设施、政策或市场判断，都需要新增的直接证据。演示和研究文档应保留这一边界，而不是为了形成更强烈的故事删去不确定性。 [S05] [S04] [S02] [S03]</w:t>
      </w:r>
    </w:p>
    <w:p>
      <w:pPr>
        <w:pStyle w:val="Heading1"/>
        <w:keepNext/>
        <w:keepLines/>
      </w:pPr>
      <w:r>
        <w:t xml:space="preserve">参考文献</w:t>
      </w:r>
    </w:p>
    <w:tbl>
      <w:tblPr>
        <w:tblW w:w="9360" w:type="dxa"/>
        <w:tblLayout w:type="fixed"/>
        <w:tblCellMar>
          <w:top w:w="0" w:type="dxa"/>
          <w:left w:w="0" w:type="dxa"/>
          <w:bottom w:w="0" w:type="dxa"/>
          <w:right w:w="0" w:type="dxa"/>
        </w:tblCellMar>
      </w:tblPr>
      <w:tblGrid>
        <w:gridCol w:w="4680"/>
        <w:gridCol w:w="4680"/>
      </w:tblGrid>
      <w:tr>
        <w:trPr>
          <w:cantSplit/>
        </w:trPr>
        <w:tc>
          <w:tcPr>
            <w:tcW w:w="4680" w:type="dxa"/>
            <w:tcMar>
              <w:top w:w="52" w:type="dxa"/>
              <w:left w:w="65" w:type="dxa"/>
              <w:bottom w:w="52" w:type="dxa"/>
              <w:right w:w="65" w:type="dxa"/>
            </w:tcMar>
          </w:tcPr>
          <w:p>
            <w:pPr>
              <w:pStyle w:val="Reference"/>
              <w:keepLines/>
              <w:keepNext/>
              <w:spacing w:after="52"/>
              <w:jc w:val="left"/>
            </w:pPr>
            <w:r>
              <w:rPr>
                <w:sz w:val="18"/>
                <w:szCs w:val="18"/>
              </w:rPr>
              <w:t xml:space="preserve">[S01] 证据编号 13136807-ef79-4dcb-b144-5193c3989f91. World Bank indicator definition: Individuals using the Internet (% of population). 发布方: World Bank. 发布日期: 未说明. 访问日期: 2026-10-03T08:21:17.281Z. 网址: https:/​/​api.​worldbank.​org/​v2/​indicator/​IT.​NET.​USER.​ZS?​format=​json</w:t>
            </w:r>
          </w:p>
        </w:tc>
        <w:tc>
          <w:tcPr>
            <w:tcW w:w="4680" w:type="dxa"/>
            <w:tcMar>
              <w:top w:w="52" w:type="dxa"/>
              <w:left w:w="65" w:type="dxa"/>
              <w:bottom w:w="52" w:type="dxa"/>
              <w:right w:w="65" w:type="dxa"/>
            </w:tcMar>
          </w:tcPr>
          <w:p>
            <w:pPr>
              <w:pStyle w:val="Reference"/>
              <w:keepLines/>
              <w:keepNext/>
              <w:spacing w:after="52"/>
              <w:jc w:val="left"/>
            </w:pPr>
            <w:r>
              <w:rPr>
                <w:sz w:val="18"/>
                <w:szCs w:val="18"/>
              </w:rPr>
              <w:t xml:space="preserve">[S02] 证据编号 4b82c9e5-9f6c-4785-a126-6faaabe0d1d8. World Bank: Individuals using the Internet (% of population), Singapore. 发布方: World Bank. 发布日期: 未说明. 访问日期: 2026-10-03T08:21:17.281Z. 网址: https:/​/​api.​worldbank.​org/​v2/​country/​SGP/​indicator/​IT.​NET.​USER.​ZS?​format=​json&amp;​date=​2024:2024</w:t>
            </w:r>
          </w:p>
        </w:tc>
      </w:tr>
      <w:tr>
        <w:trPr>
          <w:cantSplit/>
        </w:trPr>
        <w:tc>
          <w:tcPr>
            <w:tcW w:w="4680" w:type="dxa"/>
            <w:tcMar>
              <w:top w:w="52" w:type="dxa"/>
              <w:left w:w="65" w:type="dxa"/>
              <w:bottom w:w="52" w:type="dxa"/>
              <w:right w:w="65" w:type="dxa"/>
            </w:tcMar>
          </w:tcPr>
          <w:p>
            <w:pPr>
              <w:pStyle w:val="Reference"/>
              <w:keepLines/>
              <w:keepNext/>
              <w:spacing w:after="52"/>
              <w:jc w:val="left"/>
            </w:pPr>
            <w:r>
              <w:rPr>
                <w:sz w:val="18"/>
                <w:szCs w:val="18"/>
              </w:rPr>
              <w:t xml:space="preserve">[S03] 证据编号 76a6d70b-d000-40c6-b0a9-946daa5385a1. World Bank: Individuals using the Internet (% of population), World. 发布方: World Bank. 发布日期: 未说明. 访问日期: 2026-10-03T08:21:17.281Z. 网址: https:/​/​api.​worldbank.​org/​v2/​country/​WLD/​indicator/​IT.​NET.​USER.​ZS?​format=​json&amp;​date=​2024:2024</w:t>
            </w:r>
          </w:p>
        </w:tc>
        <w:tc>
          <w:tcPr>
            <w:tcW w:w="4680" w:type="dxa"/>
            <w:tcMar>
              <w:top w:w="52" w:type="dxa"/>
              <w:left w:w="65" w:type="dxa"/>
              <w:bottom w:w="52" w:type="dxa"/>
              <w:right w:w="65" w:type="dxa"/>
            </w:tcMar>
          </w:tcPr>
          <w:p>
            <w:pPr>
              <w:pStyle w:val="Reference"/>
              <w:keepLines/>
              <w:keepNext/>
              <w:spacing w:after="52"/>
              <w:jc w:val="left"/>
            </w:pPr>
            <w:r>
              <w:rPr>
                <w:sz w:val="18"/>
                <w:szCs w:val="18"/>
              </w:rPr>
              <w:t xml:space="preserve">[S04] 证据编号 bd2f5b21-81ba-4b11-a884-6bf385a0c230. World Bank: Individuals using the Internet (% of population), Colombia. 发布方: World Bank. 发布日期: 未说明. 访问日期: 2026-10-03T08:21:17.281Z. 网址: https:/​/​api.​worldbank.​org/​v2/​country/​COL/​indicator/​IT.​NET.​USER.​ZS?​format=​json&amp;​date=​2024:2024</w:t>
            </w:r>
          </w:p>
        </w:tc>
      </w:tr>
      <w:tr>
        <w:trPr>
          <w:cantSplit/>
        </w:trPr>
        <w:tc>
          <w:tcPr>
            <w:tcW w:w="4680" w:type="dxa"/>
            <w:tcMar>
              <w:top w:w="52" w:type="dxa"/>
              <w:left w:w="65" w:type="dxa"/>
              <w:bottom w:w="52" w:type="dxa"/>
              <w:right w:w="65" w:type="dxa"/>
            </w:tcMar>
          </w:tcPr>
          <w:p>
            <w:pPr>
              <w:pStyle w:val="Reference"/>
              <w:keepLines/>
              <w:spacing w:after="52"/>
              <w:jc w:val="left"/>
            </w:pPr>
            <w:r>
              <w:rPr>
                <w:sz w:val="18"/>
                <w:szCs w:val="18"/>
              </w:rPr>
              <w:t xml:space="preserve">[S05] 证据编号 c0f4ebf6-d332-4534-a481-ed71f90ad866. World Bank: Individuals using the Internet (% of population), China. 发布方: World Bank. 发布日期: 未说明. 访问日期: 2026-10-03T08:21:17.281Z. 网址: https:/​/​api.​worldbank.​org/​v2/​country/​CHN/​indicator/​IT.​NET.​USER.​ZS?​format=​json&amp;​date=​2024:2024</w:t>
            </w:r>
          </w:p>
        </w:tc>
        <w:tc>
          <w:tcPr>
            <w:tcW w:w="4680" w:type="dxa"/>
            <w:tcMar>
              <w:top w:w="52" w:type="dxa"/>
              <w:left w:w="65" w:type="dxa"/>
              <w:bottom w:w="52" w:type="dxa"/>
              <w:right w:w="65" w:type="dxa"/>
            </w:tcMar>
          </w:tcPr>
          <w:p>
            <w:pPr>
              <w:pStyle w:val="Reference"/>
              <w:keepLines/>
              <w:spacing w:after="52"/>
              <w:jc w:val="left"/>
            </w:pPr>
            <w:r>
              <w:rPr>
                <w:sz w:val="18"/>
                <w:szCs w:val="18"/>
              </w:rPr>
              <w:t xml:space="preserve"/>
            </w:r>
          </w:p>
        </w:tc>
      </w:tr>
    </w:tbl>
    <w:sectPr>
      <w:headerReference w:type="default" r:id="rId2"/>
      <w:footerReference w:type="default" r:id="rId3"/>
      <w:pgSz w:w="12240" w:h="15840"/>
      <w:pgMar w:top="1440" w:right="1440" w:bottom="1440" w:left="1440" w:header="720" w:footer="720" w:gutter="0"/>
    </w:sectPr>
  </w:body>
</w:document>
</file>

<file path=word/footer1.xml><?xml version="1.0" encoding="utf-8"?>
<w:ftr xmlns:w="http://schemas.openxmlformats.org/wordprocessingml/2006/main">
  <w:tbl>
    <w:tblPr>
      <w:tblW w:w="9360" w:type="dxa"/>
      <w:tblLayout w:type="fixed"/>
      <w:tblBorders>
        <w:top w:val="nil"/>
        <w:left w:val="nil"/>
        <w:bottom w:val="nil"/>
        <w:right w:val="nil"/>
        <w:insideH w:val="nil"/>
        <w:insideV w:val="nil"/>
      </w:tblBorders>
      <w:tblCellMar>
        <w:top w:w="0" w:type="dxa"/>
        <w:left w:w="0" w:type="dxa"/>
        <w:bottom w:w="0" w:type="dxa"/>
        <w:right w:w="0" w:type="dxa"/>
      </w:tblCellMar>
    </w:tblPr>
    <w:tblGrid>
      <w:gridCol w:w="9360"/>
    </w:tblGrid>
    <w:tr>
      <w:trPr>
        <w:cantSplit/>
      </w:trPr>
      <w:tc>
        <w:tcPr>
          <w:tcW w:w="9360" w:type="dxa"/>
        </w:tcPr>
        <w:p>
          <w:pPr>
            <w:jc w:val="center"/>
            <w:spacing w:before="0" w:after="0"/>
          </w:pPr>
          <w:r>
            <w:rPr>
              <w:rFonts w:ascii="Calibri" w:hAnsi="Calibri"/>
              <w:sz w:val="18"/>
              <w:color w:val="5D6460"/>
            </w:rPr>
            <w:t xml:space="preserve">第 </w:t>
          </w:r>
          <w:r>
            <w:rPr>
              <w:sz w:val="18"/>
              <w:color w:val="5D6460"/>
            </w:rPr>
            <w:fldChar w:fldCharType="begin"/>
          </w:r>
          <w:r>
            <w:rPr>
              <w:sz w:val="18"/>
              <w:color w:val="5D6460"/>
            </w:rPr>
            <w:instrText xml:space="preserve"> PAGE </w:instrText>
          </w:r>
          <w:r>
            <w:rPr>
              <w:sz w:val="18"/>
              <w:color w:val="5D6460"/>
            </w:rPr>
            <w:fldChar w:fldCharType="separate"/>
          </w:r>
          <w:r>
            <w:rPr>
              <w:sz w:val="18"/>
              <w:color w:val="5D6460"/>
            </w:rPr>
            <w:t>1</w:t>
          </w:r>
          <w:r>
            <w:rPr>
              <w:sz w:val="18"/>
              <w:color w:val="5D6460"/>
            </w:rPr>
            <w:fldChar w:fldCharType="end"/>
          </w:r>
          <w:r>
            <w:rPr>
              <w:rFonts w:ascii="Calibri" w:hAnsi="Calibri"/>
              <w:sz w:val="18"/>
              <w:color w:val="5D6460"/>
            </w:rPr>
            <w:t xml:space="preserve"> 页</w:t>
          </w:r>
        </w:p>
      </w:tc>
    </w:tr>
  </w:tbl>
</w:ftr>
</file>

<file path=word/header1.xml><?xml version="1.0" encoding="utf-8"?>
<w:hdr xmlns:w="http://schemas.openxmlformats.org/wordprocessingml/2006/main">
  <w:tbl>
    <w:tblPr>
      <w:tblW w:w="9360" w:type="dxa"/>
      <w:tblLayout w:type="fixed"/>
      <w:tblBorders>
        <w:top w:val="nil"/>
        <w:left w:val="nil"/>
        <w:bottom w:val="nil"/>
        <w:right w:val="nil"/>
        <w:insideH w:val="nil"/>
        <w:insideV w:val="nil"/>
      </w:tblBorders>
      <w:tblCellMar>
        <w:top w:w="0" w:type="dxa"/>
        <w:left w:w="0" w:type="dxa"/>
        <w:bottom w:w="0" w:type="dxa"/>
        <w:right w:w="0" w:type="dxa"/>
      </w:tblCellMar>
    </w:tblPr>
    <w:tblGrid>
      <w:gridCol w:w="9360"/>
    </w:tblGrid>
    <w:tr>
      <w:trPr>
        <w:cantSplit/>
      </w:trPr>
      <w:tc>
        <w:tcPr>
          <w:tcW w:w="9360" w:type="dxa"/>
        </w:tcPr>
        <w:p>
          <w:pPr>
            <w:jc w:val="center"/>
            <w:spacing w:before="0" w:after="0"/>
          </w:pPr>
          <w:r>
            <w:rPr>
              <w:rFonts w:ascii="Calibri" w:hAnsi="Calibri"/>
              <w:sz w:val="18"/>
              <w:color w:val="5D6460"/>
            </w:rPr>
            <w:t xml:space="preserve">研究报告</w:t>
          </w:r>
        </w:p>
      </w:tc>
    </w:tr>
  </w:tbl>
</w:hdr>
</file>

<file path=word/numbering.xml><?xml version="1.0" encoding="utf-8"?>
<w:numbering xmlns:w="http://schemas.openxmlformats.org/wordprocessingml/2006/main">
  <w:abstractNum w:abstractNumId="1">
    <w:nsid w:val="A1B2C3D4"/>
    <w:multiLevelType w:val="singleLevel"/>
    <w:lvl w:ilvl="0">
      <w:start w:val="1"/>
      <w:numFmt w:val="decimal"/>
      <w:lvlText w:val="%1."/>
      <w:lvlJc w:val="left"/>
      <w:pPr>
        <w:ind w:left="720" w:hanging="360"/>
      </w:pPr>
    </w:lvl>
  </w:abstractNum>
  <w:abstractNum w:abstractNumId="2">
    <w:nsid w:val="B2C3D4E5"/>
    <w:multiLevelType w:val="singleLevel"/>
    <w:lvl w:ilvl="0">
      <w:start w:val="1"/>
      <w:numFmt w:val="bullet"/>
      <w:lvlText w:val="•"/>
      <w:lvlJc w:val="left"/>
      <w:pPr>
        <w:ind w:left="720" w:hanging="360"/>
      </w:pPr>
    </w:lvl>
  </w:abstractNum>
  <w:num w:numId="1">
    <w:abstractNumId w:val="1"/>
  </w:num>
  <w:num w:numId="2">
    <w:abstractNumId w:val="2"/>
  </w:num>
</w:numbering>
</file>

<file path=word/settings.xml><?xml version="1.0" encoding="utf-8"?>
<w:settings xmlns:w="http://schemas.openxmlformats.org/wordprocessingml/2006/main"/>
</file>

<file path=word/styles.xml><?xml version="1.0" encoding="utf-8"?>
<w:styles xmlns:w="http://schemas.openxmlformats.org/wordprocessingml/2006/main">
  <w:docDefaults>
    <w:rPrDefault>
      <w:rPr>
        <w:rFonts w:ascii="Calibri" w:hAnsi="Calibri" w:eastAsia="Microsoft YaHei" w:cs="Calibri"/>
        <w:sz w:val="22"/>
        <w:szCs w:val="22"/>
        <w:color w:val="111716"/>
      </w:rPr>
    </w:rPrDefault>
    <w:pPrDefault>
      <w:pPr>
        <w:spacing w:after="160" w:line="276" w:lineRule="auto"/>
      </w:pPr>
    </w:pPrDefault>
  </w:docDefaults>
  <w:style w:type="paragraph" w:styleId="Normal" w:default="1">
    <w:name w:val="Normal"/>
    <w:qFormat/>
  </w:style>
  <w:style w:type="paragraph" w:styleId="Title">
    <w:name w:val="Title"/>
    <w:basedOn w:val="Normal"/>
    <w:qFormat/>
    <w:pPr>
      <w:spacing w:before="80" w:after="100"/>
    </w:pPr>
    <w:rPr>
      <w:rFonts w:ascii="Calibri Light" w:hAnsi="Calibri Light"/>
      <w:b/>
      <w:sz w:val="52"/>
      <w:color w:val="1B2421"/>
    </w:rPr>
  </w:style>
  <w:style w:type="paragraph" w:styleId="Subtitle">
    <w:name w:val="Subtitle"/>
    <w:basedOn w:val="Normal"/>
    <w:pPr>
      <w:spacing w:before="0" w:after="160"/>
    </w:pPr>
    <w:rPr>
      <w:rFonts w:ascii="Calibri" w:hAnsi="Calibri" w:eastAsia="Microsoft YaHei"/>
      <w:b/>
      <w:sz w:val="21"/>
      <w:szCs w:val="21"/>
      <w:color w:val="5D6460"/>
    </w:rPr>
  </w:style>
  <w:style w:type="paragraph" w:styleId="Heading1">
    <w:name w:val="Heading 1"/>
    <w:basedOn w:val="Normal"/>
    <w:next w:val="Normal"/>
    <w:qFormat/>
    <w:pPr>
      <w:spacing w:before="280" w:after="120"/>
      <w:outlineLvl w:val="0"/>
      <w:pBdr>
        <w:bottom w:val="single" w:sz="6" w:space="4" w:color="E4775C"/>
      </w:pBdr>
    </w:pPr>
    <w:rPr>
      <w:b/>
      <w:sz w:val="28"/>
      <w:color w:val="1B2421"/>
    </w:rPr>
  </w:style>
  <w:style w:type="paragraph" w:styleId="Heading2">
    <w:name w:val="Heading 2"/>
    <w:basedOn w:val="Normal"/>
    <w:next w:val="Normal"/>
    <w:qFormat/>
    <w:pPr>
      <w:spacing w:before="200" w:after="80"/>
      <w:outlineLvl w:val="1"/>
    </w:pPr>
    <w:rPr>
      <w:b/>
      <w:sz w:val="24"/>
      <w:color w:val="1B2421"/>
    </w:rPr>
  </w:style>
  <w:style w:type="paragraph" w:styleId="Kicker">
    <w:name w:val="Kicker"/>
    <w:basedOn w:val="Normal"/>
    <w:pPr>
      <w:spacing w:after="80"/>
    </w:pPr>
    <w:rPr>
      <w:b/>
      <w:sz w:val="18"/>
      <w:color w:val="E4775C"/>
      <w:rFonts w:ascii="Calibri" w:hAnsi="Calibri"/>
    </w:rPr>
  </w:style>
  <w:style w:type="paragraph" w:styleId="Cite">
    <w:name w:val="Cite"/>
    <w:basedOn w:val="Normal"/>
    <w:pPr>
      <w:spacing w:after="120"/>
    </w:pPr>
    <w:rPr>
      <w:sz w:val="18"/>
      <w:color w:val="5D6460"/>
      <w:i/>
    </w:rPr>
  </w:style>
  <w:style w:type="paragraph" w:styleId="Reference">
    <w:name w:val="Reference"/>
    <w:basedOn w:val="Normal"/>
    <w:pPr>
      <w:spacing w:after="70" w:line="248" w:lineRule="auto"/>
    </w:pPr>
    <w:rPr>
      <w:sz w:val="18"/>
      <w:szCs w:val="18"/>
      <w:color w:val="5D6460"/>
    </w:rPr>
  </w:style>
  <w:style w:type="paragraph" w:styleId="Header">
    <w:name w:val="Header"/>
    <w:basedOn w:val="Normal"/>
    <w:rPr>
      <w:sz w:val="18"/>
      <w:color w:val="5D6460"/>
    </w:rPr>
  </w:style>
  <w:style w:type="paragraph" w:styleId="Footer">
    <w:name w:val="Footer"/>
    <w:basedOn w:val="Normal"/>
    <w:rPr>
      <w:sz w:val="18"/>
      <w:color w:val="5D646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eader" Target="header1.xml"/>
  <Relationship Id="rId3" Type="http://schemas.openxmlformats.org/officeDocument/2006/relationships/footer" Target="footer1.xml"/>
  <Relationship Id="rId4" Type="http://schemas.openxmlformats.org/officeDocument/2006/relationships/numbering" Target="numbering.xml"/>
  <Relationship Id="rId5" Type="http://schemas.openxmlformats.org/officeDocument/2006/relationships/settings" Target="settings.xml"/>
  
  <Relationship Id="rId6" Type="http://schemas.openxmlformats.org/officeDocument/2006/relationships/image" Target="media/chart1.png"/>
  <Relationship Id="rId7" Type="http://schemas.openxmlformats.org/officeDocument/2006/relationships/image" Target="media/chart1.svg"/>
</Relationships>
</file>

<file path=docProps/app.xml><?xml version="1.0" encoding="utf-8"?>
<Properties xmlns="http://schemas.openxmlformats.org/officeDocument/2006/extended-properties">
  <Application>研究报告</Application>
  <DocSecurity>0</DocSecurity>
  <ScaleCrop>false</ScaleCrop>
  <Company>研究报告</Company>
  <LinksUpToDate>false</LinksUpToDate>
  <SharedDoc>false</SharedDoc>
  <HyperlinksChanged>false</HyperlinksChanged>
  <AppVersion>1.0</AppVersion>
</Properties>
</file>

<file path=docProps/core.xml><?xml version="1.0" encoding="utf-8"?>
<cp:coreProperties xmlns:cp="http://schemas.openxmlformats.org/package/2006/metadata/core-properties" xmlns:dc="http://purl.org/dc/elements/1.1/" xmlns:dcterms="http://purl.org/dc/terms/" xmlns:xsi="http://www.w3.org/2001/XMLSchema-instance">
  <dc:title>2024年互联网使用率:三国与世界汇总</dc:title>
  <dc:creator>研究报告</dc:creator>
  <cp:lastModifiedBy>研究报告</cp:lastModifiedBy>
  <dcterms:created xsi:type="dcterms:W3CDTF">2026-10-05T04:35:23.100Z</dcterms:created>
  <dcterms:modified xsi:type="dcterms:W3CDTF">2026-10-05T04:35:23.100Z</dcterms:modified>
</cp:coreProperties>
</file>