
<file path=[Content_Types].xml><?xml version="1.0" encoding="utf-8"?>
<Types xmlns="http://schemas.openxmlformats.org/package/2006/content-types">
  <Default Extension="rels" ContentType="application/vnd.openxmlformats-officedocument.package.relationships+xml"/>
  <Default Extension="xml" ContentType="application/xml"/>
  <Default Extension="svg" ContentType="image/sv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docProps/core.xml" ContentType="application/vnd.openxmlformats-officedocument.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Kicker"/>
      </w:pPr>
      <w:r>
        <w:t xml:space="preserve">研究报告</w:t>
      </w:r>
    </w:p>
    <w:p>
      <w:pPr>
        <w:pStyle w:val="Title"/>
        <w:keepNext/>
        <w:keepLines/>
      </w:pPr>
      <w:r>
        <w:t xml:space="preserve">2024年互联网使用率比较</w:t>
      </w:r>
    </w:p>
    <w:p>
      <w:pPr>
        <w:pStyle w:val="Subtitle"/>
        <w:keepNext/>
        <w:keepLines/>
      </w:pPr>
      <w:r>
        <w:t xml:space="preserve">中国 · 哥伦比亚 · 新加坡 · 世界总体</w:t>
      </w:r>
    </w:p>
    <w:p>
      <w:pPr>
        <w:pStyle w:val="Cite"/>
      </w:pPr>
      <w:r>
        <w:t xml:space="preserve">审批依据版本 84</w:t>
      </w:r>
    </w:p>
    <w:p>
      <w:pPr>
        <w:pStyle w:val="Heading1"/>
        <w:keepNext/>
        <w:keepLines/>
      </w:pPr>
      <w:r>
        <w:t xml:space="preserve">摘要</w:t>
      </w:r>
    </w:p>
    <w:p>
      <w:pPr/>
      <w:r>
        <w:t xml:space="preserve">2024年世界银行IT.NET.USER.ZS的已报告观察为:世界汇总71.2%，中国92.0%，哥伦比亚79.35%，新加坡94.38%；按同一指标和年度直接比较，新加坡最高，中国次之，哥伦比亚高于世界汇总。[S02][S03][S04][S05]</w:t>
      </w:r>
    </w:p>
    <w:p>
      <w:pPr/>
      <w:r>
        <w:t xml:space="preserve">中国与新加坡均高于世界汇总，哥伦比亚也高于世界汇总；但四项数据只能证明互联网使用比例的横向差异，不能证明基础设施投资、政策或其他因素造成了这些差异。[S02][S03][S05]</w:t>
      </w:r>
    </w:p>
    <w:p>
      <w:pPr/>
      <w:r>
        <w:t xml:space="preserve">面向战略决策者，建议将结果作为接入和使用基线，配合速度、稳定性、可负担性、数字技能和地区差异指标使用，并清楚区分原始值、四舍五入值、百分点差和解释性判断。[S01]</w:t>
      </w:r>
    </w:p>
    <w:p>
      <w:pPr>
        <w:pStyle w:val="Heading1"/>
        <w:keepNext/>
        <w:keepLines/>
      </w:pPr>
      <w:r>
        <w:t xml:space="preserve">方法</w:t>
      </w:r>
    </w:p>
    <w:p>
      <w:pPr/>
      <w:r>
        <w:t xml:space="preserve">方法上采用世界银行IT.NET.USER.ZS指标作为统一主指标，将世界、中国、哥伦比亚和新加坡的2024年观测放入同一表格；比较时只比较同指标、同年份、同单位的观察，并将国家值与世界汇总明确分层。[S01]</w:t>
      </w:r>
    </w:p>
    <w:p>
      <w:pPr/>
      <w:r>
        <w:t xml:space="preserve">计算流程保留原始数值，直接使用原始值计算同单位的百分点差，最后再按展示需要舍入并标注精度；例如百分点差表示两个比例的算术距离，不代表互联网使用率按百分比变化，也不代表网络速度或服务质量变化。[S01]</w:t>
      </w:r>
    </w:p>
    <w:p>
      <w:pPr/>
      <w:r>
        <w:t xml:space="preserve">报告结构将证据、比较、含义和局限分开处理:事实部分只陈述已报告数值与定义，分析部分说明其对数字基础设施决策的可能用途，不确定性部分明确哪些结论不能由单一指标推出。[S01]</w:t>
      </w:r>
    </w:p>
    <w:p>
      <w:pPr>
        <w:pStyle w:val="Heading1"/>
        <w:keepNext/>
        <w:keepLines/>
        <w:pageBreakBefore/>
      </w:pPr>
      <w:r>
        <w:t xml:space="preserve">研究问题覆盖</w:t>
      </w:r>
    </w:p>
    <w:p>
      <w:pPr>
        <w:pStyle w:val="Heading2"/>
        <w:keepNext/>
        <w:keepLines/>
        <w:spacing w:before="100" w:after="40"/>
      </w:pPr>
      <w:r>
        <w:t xml:space="preserve">RQ01 · 已覆盖 · 中国：官方统计与公开指标 [S02]</w:t>
      </w:r>
    </w:p>
    <w:p>
      <w:pPr>
        <w:keepLines/>
        <w:spacing w:before="0" w:after="80"/>
      </w:pPr>
      <w:r>
        <w:t xml:space="preserve">由 1 条保留的证据记录支持。</w:t>
      </w:r>
    </w:p>
    <w:p>
      <w:pPr>
        <w:pStyle w:val="Heading2"/>
        <w:keepNext/>
        <w:keepLines/>
        <w:spacing w:before="100" w:after="40"/>
      </w:pPr>
      <w:r>
        <w:t xml:space="preserve">RQ02 · 已覆盖 · 哥伦比亚：官方统计与公开指标 [S03]</w:t>
      </w:r>
    </w:p>
    <w:p>
      <w:pPr>
        <w:keepLines/>
        <w:spacing w:before="0" w:after="80"/>
      </w:pPr>
      <w:r>
        <w:t xml:space="preserve">由 1 条保留的证据记录支持。</w:t>
      </w:r>
    </w:p>
    <w:p>
      <w:pPr>
        <w:pStyle w:val="Heading2"/>
        <w:keepNext/>
        <w:keepLines/>
        <w:spacing w:before="100" w:after="40"/>
      </w:pPr>
      <w:r>
        <w:t xml:space="preserve">RQ03 · 已覆盖 · 新加坡：官方统计与公开指标 [S04]</w:t>
      </w:r>
    </w:p>
    <w:p>
      <w:pPr>
        <w:keepLines/>
        <w:spacing w:before="0" w:after="80"/>
      </w:pPr>
      <w:r>
        <w:t xml:space="preserve">由 1 条保留的证据记录支持。</w:t>
      </w:r>
    </w:p>
    <w:p>
      <w:pPr>
        <w:pStyle w:val="Heading2"/>
        <w:keepNext/>
        <w:keepLines/>
        <w:spacing w:before="100" w:after="40"/>
      </w:pPr>
      <w:r>
        <w:t xml:space="preserve">RQ04 · 已覆盖 · 世界汇总：官方统计与公开指标 [S05]</w:t>
      </w:r>
    </w:p>
    <w:p>
      <w:pPr>
        <w:keepLines/>
        <w:spacing w:before="0" w:after="80"/>
      </w:pPr>
      <w:r>
        <w:t xml:space="preserve">由 1 条保留的证据记录支持。</w:t>
      </w:r>
    </w:p>
    <w:p>
      <w:pPr>
        <w:pStyle w:val="Heading2"/>
        <w:keepNext/>
        <w:keepLines/>
        <w:spacing w:before="100" w:after="40"/>
      </w:pPr>
      <w:r>
        <w:t xml:space="preserve">RQ05 · 已覆盖 · 官方指标定义 统计口径 共同单位与期间 [S06]</w:t>
      </w:r>
    </w:p>
    <w:p>
      <w:pPr>
        <w:keepLines/>
        <w:spacing w:before="0" w:after="80"/>
      </w:pPr>
      <w:r>
        <w:t xml:space="preserve">由 1 条保留的证据记录支持。</w:t>
      </w:r>
    </w:p>
    <w:p>
      <w:pPr>
        <w:pStyle w:val="Heading2"/>
        <w:keepNext/>
        <w:keepLines/>
        <w:spacing w:before="100" w:after="40"/>
      </w:pPr>
      <w:r>
        <w:t xml:space="preserve">RQ06 · 数据缺口 · 官方时间序列 趋势 地理覆盖与比较</w:t>
      </w:r>
    </w:p>
    <w:p>
      <w:pPr>
        <w:keepLines/>
        <w:spacing w:before="0" w:after="80"/>
      </w:pPr>
      <w:r>
        <w:t xml:space="preserve">现有证据尚不能回答此问题，需补充研究。</w:t>
      </w:r>
    </w:p>
    <w:p>
      <w:pPr>
        <w:pStyle w:val="Heading2"/>
        <w:keepNext/>
        <w:keepLines/>
        <w:spacing w:before="100" w:after="40"/>
      </w:pPr>
      <w:r>
        <w:t xml:space="preserve">RQ07 · 数据缺口 · 官方可负担性 价格与接入约束</w:t>
      </w:r>
    </w:p>
    <w:p>
      <w:pPr>
        <w:keepLines/>
        <w:spacing w:before="0" w:after="80"/>
      </w:pPr>
      <w:r>
        <w:t xml:space="preserve">现有证据尚不能回答此问题，需补充研究。</w:t>
      </w:r>
    </w:p>
    <w:p>
      <w:pPr>
        <w:pStyle w:val="Heading2"/>
        <w:keepNext/>
        <w:keepLines/>
        <w:spacing w:before="100" w:after="40"/>
      </w:pPr>
      <w:r>
        <w:t xml:space="preserve">RQ08 · 数据缺口 · 官方设备 技能 有效使用与采用障碍</w:t>
      </w:r>
    </w:p>
    <w:p>
      <w:pPr>
        <w:keepLines/>
        <w:spacing w:before="0" w:after="80"/>
      </w:pPr>
      <w:r>
        <w:t xml:space="preserve">现有证据尚不能回答此问题，需补充研究。</w:t>
      </w:r>
    </w:p>
    <w:p>
      <w:pPr>
        <w:pStyle w:val="Heading2"/>
        <w:keepNext/>
        <w:keepLines/>
        <w:spacing w:before="100" w:after="40"/>
      </w:pPr>
      <w:r>
        <w:t xml:space="preserve">RQ09 · 数据缺口 · 官方政策 法规 治理与实施</w:t>
      </w:r>
    </w:p>
    <w:p>
      <w:pPr>
        <w:keepLines/>
        <w:spacing w:before="0" w:after="80"/>
      </w:pPr>
      <w:r>
        <w:t xml:space="preserve">现有证据尚不能回答此问题，需补充研究。</w:t>
      </w:r>
    </w:p>
    <w:p>
      <w:pPr>
        <w:pStyle w:val="Heading2"/>
        <w:keepNext/>
        <w:keepLines/>
        <w:spacing w:before="100" w:after="40"/>
      </w:pPr>
      <w:r>
        <w:t xml:space="preserve">RQ10 · 数据缺口 · 官方数据质量 差异 局限与不确定性</w:t>
      </w:r>
    </w:p>
    <w:p>
      <w:pPr>
        <w:keepLines/>
        <w:spacing w:before="0" w:after="80"/>
      </w:pPr>
      <w:r>
        <w:t xml:space="preserve">现有证据尚不能回答此问题，需补充研究。</w:t>
      </w:r>
    </w:p>
    <w:p>
      <w:pPr>
        <w:pStyle w:val="Heading2"/>
        <w:keepNext/>
        <w:keepLines/>
      </w:pPr>
      <w:r>
        <w:t xml:space="preserve">研究质量检查</w:t>
      </w:r>
    </w:p>
    <w:p>
      <w:pPr>
        <w:keepLines/>
        <w:keepNext/>
        <w:numPr>
          <w:ilvl w:val="0"/>
          <w:numId w:val="2"/>
        </w:numPr>
      </w:pPr>
      <w:r>
        <w:t xml:space="preserve">研究问题覆盖：5/10 (50%)</w:t>
      </w:r>
    </w:p>
    <w:p>
      <w:pPr>
        <w:keepLines/>
        <w:keepNext/>
        <w:numPr>
          <w:ilvl w:val="0"/>
          <w:numId w:val="2"/>
        </w:numPr>
      </w:pPr>
      <w:r>
        <w:t xml:space="preserve">实质性发现：5</w:t>
      </w:r>
    </w:p>
    <w:p>
      <w:pPr>
        <w:keepLines/>
        <w:keepNext/>
        <w:numPr>
          <w:ilvl w:val="0"/>
          <w:numId w:val="2"/>
        </w:numPr>
      </w:pPr>
      <w:r>
        <w:t xml:space="preserve">独立证据记录（非发布机构数）：5</w:t>
      </w:r>
    </w:p>
    <w:p>
      <w:pPr>
        <w:keepLines/>
        <w:numPr>
          <w:ilvl w:val="0"/>
          <w:numId w:val="2"/>
        </w:numPr>
      </w:pPr>
      <w:r>
        <w:t xml:space="preserve">主要/权威来源记录：5</w:t>
      </w:r>
    </w:p>
    <w:p>
      <w:pPr>
        <w:pStyle w:val="Heading1"/>
        <w:keepNext/>
        <w:keepLines/>
      </w:pPr>
      <w:r>
        <w:t xml:space="preserve">发现</w:t>
      </w:r>
    </w:p>
    <w:p>
      <w:pPr>
        <w:pStyle w:val="Heading2"/>
        <w:keepNext/>
        <w:keepLines/>
        <w:spacing w:before="120" w:after="60"/>
        <w:numPr>
          <w:ilvl w:val="0"/>
          <w:numId w:val="1"/>
        </w:numPr>
      </w:pPr>
      <w:r>
        <w:t xml:space="preserve">2024年中国互联网使用率为92.00%，为三个受比较国家中的第二位。</w:t>
      </w:r>
      <w:r>
        <w:rPr>
          <w:sz w:val="16"/>
          <w:color w:val="E4775C"/>
        </w:rPr>
        <w:t xml:space="preserve"> [S02]</w:t>
      </w:r>
    </w:p>
    <w:p>
      <w:pPr>
        <w:keepNext/>
        <w:keepLines/>
        <w:spacing w:before="0" w:after="60"/>
      </w:pPr>
      <w:r>
        <w:t xml:space="preserve">与其他地区比较时，保持年份、指标和单位一致。</w:t>
      </w:r>
    </w:p>
    <w:p>
      <w:pPr>
        <w:pStyle w:val="Cite"/>
        <w:keepLines/>
        <w:spacing w:before="0" w:after="40"/>
      </w:pPr>
      <w:r>
        <w:t xml:space="preserve">置信度: 0.98</w:t>
      </w:r>
    </w:p>
    <w:p>
      <w:pPr>
        <w:pStyle w:val="Heading2"/>
        <w:keepNext/>
        <w:keepLines/>
        <w:spacing w:before="120" w:after="60"/>
        <w:numPr>
          <w:ilvl w:val="0"/>
          <w:numId w:val="1"/>
        </w:numPr>
      </w:pPr>
      <w:r>
        <w:t xml:space="preserve">2024年哥伦比亚互联网使用率为79.35%，低于中国和新加坡，但高于世界汇总。</w:t>
      </w:r>
      <w:r>
        <w:rPr>
          <w:sz w:val="16"/>
          <w:color w:val="E4775C"/>
        </w:rPr>
        <w:t xml:space="preserve"> [S03]</w:t>
      </w:r>
    </w:p>
    <w:p>
      <w:pPr>
        <w:keepNext/>
        <w:keepLines/>
        <w:spacing w:before="0" w:after="60"/>
      </w:pPr>
      <w:r>
        <w:t xml:space="preserve">仅表示互联网使用比例，不等于网速或服务质量。</w:t>
      </w:r>
    </w:p>
    <w:p>
      <w:pPr>
        <w:pStyle w:val="Cite"/>
        <w:keepLines/>
        <w:spacing w:before="0" w:after="40"/>
      </w:pPr>
      <w:r>
        <w:t xml:space="preserve">置信度: 0.98</w:t>
      </w:r>
    </w:p>
    <w:p>
      <w:pPr>
        <w:pStyle w:val="Heading2"/>
        <w:keepNext/>
        <w:keepLines/>
        <w:spacing w:before="120" w:after="60"/>
        <w:numPr>
          <w:ilvl w:val="0"/>
          <w:numId w:val="1"/>
        </w:numPr>
      </w:pPr>
      <w:r>
        <w:t xml:space="preserve">2024年新加坡互联网使用率为94.38%，在三个受比较国家中最高。</w:t>
      </w:r>
      <w:r>
        <w:rPr>
          <w:sz w:val="16"/>
          <w:color w:val="E4775C"/>
        </w:rPr>
        <w:t xml:space="preserve"> [S04]</w:t>
      </w:r>
    </w:p>
    <w:p>
      <w:pPr>
        <w:keepNext/>
        <w:keepLines/>
        <w:spacing w:before="0" w:after="60"/>
      </w:pPr>
      <w:r>
        <w:t xml:space="preserve">高使用率不能单独证明基础设施投资的因果效果。</w:t>
      </w:r>
    </w:p>
    <w:p>
      <w:pPr>
        <w:pStyle w:val="Cite"/>
        <w:keepLines/>
        <w:spacing w:before="0" w:after="40"/>
      </w:pPr>
      <w:r>
        <w:t xml:space="preserve">置信度: 0.98</w:t>
      </w:r>
    </w:p>
    <w:p>
      <w:pPr>
        <w:pStyle w:val="Heading2"/>
        <w:keepNext/>
        <w:keepLines/>
        <w:spacing w:before="120" w:after="60"/>
        <w:numPr>
          <w:ilvl w:val="0"/>
          <w:numId w:val="1"/>
        </w:numPr>
      </w:pPr>
      <w:r>
        <w:t xml:space="preserve">2024年世界互联网使用率汇总为71.20%；它是汇总参照，不是第四个国家。</w:t>
      </w:r>
      <w:r>
        <w:rPr>
          <w:sz w:val="16"/>
          <w:color w:val="E4775C"/>
        </w:rPr>
        <w:t xml:space="preserve"> [S05]</w:t>
      </w:r>
    </w:p>
    <w:p>
      <w:pPr>
        <w:keepNext/>
        <w:keepLines/>
        <w:spacing w:before="0" w:after="60"/>
      </w:pPr>
      <w:r>
        <w:t xml:space="preserve">世界总体是加权汇总基准，不作为独立国家参与均值计算。</w:t>
      </w:r>
    </w:p>
    <w:p>
      <w:pPr>
        <w:pStyle w:val="Cite"/>
        <w:keepLines/>
        <w:spacing w:before="0" w:after="40"/>
      </w:pPr>
      <w:r>
        <w:t xml:space="preserve">置信度: 0.98</w:t>
      </w:r>
    </w:p>
    <w:p>
      <w:pPr>
        <w:pStyle w:val="Heading2"/>
        <w:keepNext/>
        <w:keepLines/>
        <w:spacing w:before="120" w:after="60"/>
        <w:numPr>
          <w:ilvl w:val="0"/>
          <w:numId w:val="1"/>
        </w:numPr>
      </w:pPr>
      <w:r>
        <w:t xml:space="preserve">百分点差额应使用原始观测值计算。</w:t>
      </w:r>
      <w:r>
        <w:rPr>
          <w:sz w:val="16"/>
          <w:color w:val="E4775C"/>
        </w:rPr>
        <w:t xml:space="preserve"> [S01]</w:t>
      </w:r>
    </w:p>
    <w:p>
      <w:pPr>
        <w:keepNext/>
        <w:keepLines/>
        <w:spacing w:before="0" w:after="60"/>
      </w:pPr>
      <w:r>
        <w:t xml:space="preserve">图表展示值可四舍五入，但百分点差额应使用原始观测值计算。</w:t>
      </w:r>
    </w:p>
    <w:p>
      <w:pPr>
        <w:pStyle w:val="Cite"/>
        <w:keepLines/>
        <w:spacing w:before="0" w:after="40"/>
      </w:pPr>
      <w:r>
        <w:t xml:space="preserve">置信度: 0.9</w:t>
      </w:r>
    </w:p>
    <w:p>
      <w:pPr/>
      <w:r>
        <w:t xml:space="preserve">世界银行指标定义表明，互联网使用者是过去三个月从任何地点使用过互联网的个人，设备可包括计算机、手机、个人数字助理、游戏机或数字电视等；因此，本报告的“互联网使用率”应理解为近三个月使用行为的个人比例，而不是网络连接点数量或设备拥有量。[S06]</w:t>
      </w:r>
    </w:p>
    <w:p>
      <w:pPr/>
      <w:r>
        <w:t xml:space="preserve">在2024年原始观测中，世界汇总为71.2%，中国为92%，哥伦比亚为79.34543299%，新加坡为94.37757178%；这些数值来自同一指标、同一年度和同一单位，适合形成横向比较表，但世界汇总不是独立国家，不能将四项简单平均来重新推算世界平均。[S01][S02][S03][S04][S05]</w:t>
      </w:r>
    </w:p>
    <w:p>
      <w:pPr/>
      <w:r>
        <w:t xml:space="preserve">证据支持的直接发现是:新加坡的已报告比例最高，中国次之，哥伦比亚高于世界汇总，世界汇总最低；这些是描述性排序，不能单独证明任何国家的高比例由某项政策、基础设施投资或因果关系造成，也不能据此推断使用质量。[S05][S01]</w:t>
      </w:r>
    </w:p>
    <w:p>
      <w:pPr>
        <w:pStyle w:val="Heading1"/>
        <w:keepNext/>
        <w:keepLines/>
      </w:pPr>
      <w:r>
        <w:t xml:space="preserve">比较图表</w:t>
      </w:r>
    </w:p>
    <w:p>
      <w:pPr>
        <w:pStyle w:val="Heading2"/>
        <w:keepNext/>
        <w:keepLines/>
      </w:pPr>
      <w:r>
        <w:t xml:space="preserve">2024年互联网使用人口占比</w:t>
      </w:r>
    </w:p>
    <w:p>
      <w:pPr>
        <w:keepNext/>
      </w:pPr>
      <w:r>
        <w:drawing>
          <wp:inline distT="0" distB="0" distL="0" distR="0">
            <wp:extent cx="5486400" cy="2743200"/>
            <wp:docPr id="101" name="Chart 1" descr="2024年互联网使用人口占比:中国92%,哥伦比亚79.34543299%,新加坡94.37757178%,世界总体71.2%。世界总体为加权汇总基准,不是第四个国家。"/>
            <wp:cNvGraphicFramePr/>
            <a:graphic>
              <a:graphicData uri="http://schemas.openxmlformats.org/drawingml/2006/picture">
                <pic:pic>
                  <pic:nvPicPr>
                    <pic:cNvPr id="0" name="Chart 1.svg" descr="2024年互联网使用人口占比:中国92%,哥伦比亚79.34543299%,新加坡94.37757178%,世界总体71.2%。世界总体为加权汇总基准,不是第四个国家。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ite"/>
      </w:pPr>
      <w:r>
        <w:t xml:space="preserve">三国互联网使用率均高于世界总体水平 世界值为加权汇总基准</w:t>
      </w:r>
    </w:p>
    <w:tbl>
      <w:tblPr>
        <w:tblW w:w="9360" w:type="dxa"/>
        <w:tblLayout w:type="fixed"/>
        <w:tblInd w:w="0" w:type="dxa"/>
        <w:tblCellMar>
          <w:top w:w="80" w:type="dxa"/>
          <w:left w:w="80" w:type="dxa"/>
          <w:bottom w:w="80" w:type="dxa"/>
          <w:right w:w="80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2" w:color="D9D9D9"/>
          <w:insideV w:val="single" w:sz="2" w:color="D9D9D9"/>
        </w:tblBorders>
      </w:tblPr>
      <w:tblGrid>
        <w:gridCol w:w="2500"/>
        <w:gridCol w:w="2400"/>
        <w:gridCol w:w="1200"/>
        <w:gridCol w:w="3260"/>
      </w:tblGrid>
      <w:tr>
        <w:trPr>
          <w:tblHeader/>
          <w:cantSplit/>
        </w:trPr>
        <w:tc>
          <w:tcPr>
            <w:tcW w:w="2500" w:type="dxa"/>
            <w:vAlign w:val="center"/>
            <w:shd w:fill="F2F2F2"/>
          </w:tcPr>
          <w:p>
            <w:pPr>
              <w:keepLines/>
              <w:spacing w:before="0" w:after="0" w:line="216" w:lineRule="auto"/>
              <w:jc w:val="left"/>
            </w:pPr>
            <w:r>
              <w:rPr>
                <w:b/>
                <w:sz w:val="18"/>
                <w:szCs w:val="18"/>
              </w:rPr>
              <w:t xml:space="preserve">类别</w:t>
            </w:r>
          </w:p>
        </w:tc>
        <w:tc>
          <w:tcPr>
            <w:tcW w:w="2400" w:type="dxa"/>
            <w:vAlign w:val="center"/>
            <w:shd w:fill="F2F2F2"/>
          </w:tcPr>
          <w:p>
            <w:pPr>
              <w:keepLines/>
              <w:spacing w:before="0" w:after="0" w:line="216" w:lineRule="auto"/>
              <w:jc w:val="left"/>
            </w:pPr>
            <w:r>
              <w:rPr>
                <w:b/>
                <w:sz w:val="18"/>
                <w:szCs w:val="18"/>
              </w:rPr>
              <w:t xml:space="preserve">系列</w:t>
            </w:r>
          </w:p>
        </w:tc>
        <w:tc>
          <w:tcPr>
            <w:tcW w:w="1200" w:type="dxa"/>
            <w:vAlign w:val="center"/>
            <w:shd w:fill="F2F2F2"/>
          </w:tcPr>
          <w:p>
            <w:pPr>
              <w:keepLines/>
              <w:spacing w:before="0" w:after="0" w:line="216" w:lineRule="auto"/>
              <w:jc w:val="center"/>
            </w:pPr>
            <w:r>
              <w:rPr>
                <w:b/>
                <w:sz w:val="18"/>
                <w:szCs w:val="18"/>
              </w:rPr>
              <w:t xml:space="preserve">数值 (%)</w:t>
            </w:r>
          </w:p>
        </w:tc>
        <w:tc>
          <w:tcPr>
            <w:tcW w:w="3260" w:type="dxa"/>
            <w:vAlign w:val="center"/>
            <w:shd w:fill="F2F2F2"/>
          </w:tcPr>
          <w:p>
            <w:pPr>
              <w:keepLines/>
              <w:spacing w:before="0" w:after="0" w:line="216" w:lineRule="auto"/>
              <w:jc w:val="center"/>
            </w:pPr>
            <w:r>
              <w:rPr>
                <w:b/>
                <w:sz w:val="18"/>
                <w:szCs w:val="18"/>
              </w:rPr>
              <w:t xml:space="preserve">来源</w:t>
            </w:r>
          </w:p>
        </w:tc>
      </w:tr>
      <w:tr>
        <w:trPr>
          <w:cantSplit/>
        </w:trPr>
        <w:tc>
          <w:tcPr>
            <w:tcW w:w="2500" w:type="dxa"/>
            <w:vAlign w:val="center"/>
          </w:tcPr>
          <w:p>
            <w:pPr>
              <w:keepLines/>
              <w:spacing w:before="0" w:after="0" w:line="216" w:lineRule="auto"/>
              <w:jc w:val="left"/>
            </w:pPr>
            <w:r>
              <w:rPr>
                <w:sz w:val="18"/>
                <w:szCs w:val="18"/>
              </w:rPr>
              <w:t xml:space="preserve">中国</w:t>
            </w:r>
          </w:p>
        </w:tc>
        <w:tc>
          <w:tcPr>
            <w:tcW w:w="2400" w:type="dxa"/>
            <w:vAlign w:val="center"/>
          </w:tcPr>
          <w:p>
            <w:pPr>
              <w:keepLines/>
              <w:spacing w:before="0" w:after="0" w:line="216" w:lineRule="auto"/>
              <w:jc w:val="left"/>
            </w:pPr>
            <w:r>
              <w:rPr>
                <w:sz w:val="18"/>
                <w:szCs w:val="18"/>
              </w:rPr>
              <w:t xml:space="preserve">互联网使用人口占比</w:t>
            </w:r>
          </w:p>
        </w:tc>
        <w:tc>
          <w:tcPr>
            <w:tcW w:w="1200" w:type="dxa"/>
            <w:vAlign w:val="center"/>
          </w:tcPr>
          <w:p>
            <w:pPr>
              <w:keepLines/>
              <w:spacing w:before="0" w:after="0" w:line="216" w:lineRule="auto"/>
              <w:jc w:val="center"/>
            </w:pPr>
            <w:r>
              <w:rPr>
                <w:sz w:val="18"/>
                <w:szCs w:val="18"/>
              </w:rPr>
              <w:t xml:space="preserve">92.00</w:t>
            </w:r>
          </w:p>
        </w:tc>
        <w:tc>
          <w:tcPr>
            <w:tcW w:w="3260" w:type="dxa"/>
            <w:vAlign w:val="center"/>
          </w:tcPr>
          <w:p>
            <w:pPr>
              <w:keepLines/>
              <w:spacing w:before="0" w:after="0" w:line="216" w:lineRule="auto"/>
              <w:jc w:val="center"/>
            </w:pPr>
            <w:r>
              <w:rPr>
                <w:sz w:val="18"/>
                <w:szCs w:val="18"/>
              </w:rPr>
              <w:t xml:space="preserve">[S02]</w:t>
            </w:r>
          </w:p>
        </w:tc>
      </w:tr>
      <w:tr>
        <w:trPr>
          <w:cantSplit/>
        </w:trPr>
        <w:tc>
          <w:tcPr>
            <w:tcW w:w="2500" w:type="dxa"/>
            <w:vAlign w:val="center"/>
          </w:tcPr>
          <w:p>
            <w:pPr>
              <w:keepLines/>
              <w:spacing w:before="0" w:after="0" w:line="216" w:lineRule="auto"/>
              <w:jc w:val="left"/>
            </w:pPr>
            <w:r>
              <w:rPr>
                <w:sz w:val="18"/>
                <w:szCs w:val="18"/>
              </w:rPr>
              <w:t xml:space="preserve">哥伦比亚</w:t>
            </w:r>
          </w:p>
        </w:tc>
        <w:tc>
          <w:tcPr>
            <w:tcW w:w="2400" w:type="dxa"/>
            <w:vAlign w:val="center"/>
          </w:tcPr>
          <w:p>
            <w:pPr>
              <w:keepLines/>
              <w:spacing w:before="0" w:after="0" w:line="216" w:lineRule="auto"/>
              <w:jc w:val="left"/>
            </w:pPr>
            <w:r>
              <w:rPr>
                <w:sz w:val="18"/>
                <w:szCs w:val="18"/>
              </w:rPr>
              <w:t xml:space="preserve">互联网使用人口占比</w:t>
            </w:r>
          </w:p>
        </w:tc>
        <w:tc>
          <w:tcPr>
            <w:tcW w:w="1200" w:type="dxa"/>
            <w:vAlign w:val="center"/>
          </w:tcPr>
          <w:p>
            <w:pPr>
              <w:keepLines/>
              <w:spacing w:before="0" w:after="0" w:line="216" w:lineRule="auto"/>
              <w:jc w:val="center"/>
            </w:pPr>
            <w:r>
              <w:rPr>
                <w:sz w:val="18"/>
                <w:szCs w:val="18"/>
              </w:rPr>
              <w:t xml:space="preserve">79.35</w:t>
            </w:r>
          </w:p>
        </w:tc>
        <w:tc>
          <w:tcPr>
            <w:tcW w:w="3260" w:type="dxa"/>
            <w:vAlign w:val="center"/>
          </w:tcPr>
          <w:p>
            <w:pPr>
              <w:keepLines/>
              <w:spacing w:before="0" w:after="0" w:line="216" w:lineRule="auto"/>
              <w:jc w:val="center"/>
            </w:pPr>
            <w:r>
              <w:rPr>
                <w:sz w:val="18"/>
                <w:szCs w:val="18"/>
              </w:rPr>
              <w:t xml:space="preserve">[S03]</w:t>
            </w:r>
          </w:p>
        </w:tc>
      </w:tr>
      <w:tr>
        <w:trPr>
          <w:cantSplit/>
        </w:trPr>
        <w:tc>
          <w:tcPr>
            <w:tcW w:w="2500" w:type="dxa"/>
            <w:vAlign w:val="center"/>
          </w:tcPr>
          <w:p>
            <w:pPr>
              <w:keepLines/>
              <w:spacing w:before="0" w:after="0" w:line="216" w:lineRule="auto"/>
              <w:jc w:val="left"/>
            </w:pPr>
            <w:r>
              <w:rPr>
                <w:sz w:val="18"/>
                <w:szCs w:val="18"/>
              </w:rPr>
              <w:t xml:space="preserve">新加坡</w:t>
            </w:r>
          </w:p>
        </w:tc>
        <w:tc>
          <w:tcPr>
            <w:tcW w:w="2400" w:type="dxa"/>
            <w:vAlign w:val="center"/>
          </w:tcPr>
          <w:p>
            <w:pPr>
              <w:keepLines/>
              <w:spacing w:before="0" w:after="0" w:line="216" w:lineRule="auto"/>
              <w:jc w:val="left"/>
            </w:pPr>
            <w:r>
              <w:rPr>
                <w:sz w:val="18"/>
                <w:szCs w:val="18"/>
              </w:rPr>
              <w:t xml:space="preserve">互联网使用人口占比</w:t>
            </w:r>
          </w:p>
        </w:tc>
        <w:tc>
          <w:tcPr>
            <w:tcW w:w="1200" w:type="dxa"/>
            <w:vAlign w:val="center"/>
          </w:tcPr>
          <w:p>
            <w:pPr>
              <w:keepLines/>
              <w:spacing w:before="0" w:after="0" w:line="216" w:lineRule="auto"/>
              <w:jc w:val="center"/>
            </w:pPr>
            <w:r>
              <w:rPr>
                <w:sz w:val="18"/>
                <w:szCs w:val="18"/>
              </w:rPr>
              <w:t xml:space="preserve">94.38</w:t>
            </w:r>
          </w:p>
        </w:tc>
        <w:tc>
          <w:tcPr>
            <w:tcW w:w="3260" w:type="dxa"/>
            <w:vAlign w:val="center"/>
          </w:tcPr>
          <w:p>
            <w:pPr>
              <w:keepLines/>
              <w:spacing w:before="0" w:after="0" w:line="216" w:lineRule="auto"/>
              <w:jc w:val="center"/>
            </w:pPr>
            <w:r>
              <w:rPr>
                <w:sz w:val="18"/>
                <w:szCs w:val="18"/>
              </w:rPr>
              <w:t xml:space="preserve">[S04]</w:t>
            </w:r>
          </w:p>
        </w:tc>
      </w:tr>
      <w:tr>
        <w:trPr>
          <w:cantSplit/>
        </w:trPr>
        <w:tc>
          <w:tcPr>
            <w:tcW w:w="2500" w:type="dxa"/>
            <w:vAlign w:val="center"/>
          </w:tcPr>
          <w:p>
            <w:pPr>
              <w:keepLines/>
              <w:spacing w:before="0" w:after="0" w:line="216" w:lineRule="auto"/>
              <w:jc w:val="left"/>
            </w:pPr>
            <w:r>
              <w:rPr>
                <w:sz w:val="18"/>
                <w:szCs w:val="18"/>
              </w:rPr>
              <w:t xml:space="preserve">世界总体</w:t>
            </w:r>
          </w:p>
        </w:tc>
        <w:tc>
          <w:tcPr>
            <w:tcW w:w="2400" w:type="dxa"/>
            <w:vAlign w:val="center"/>
          </w:tcPr>
          <w:p>
            <w:pPr>
              <w:keepLines/>
              <w:spacing w:before="0" w:after="0" w:line="216" w:lineRule="auto"/>
              <w:jc w:val="left"/>
            </w:pPr>
            <w:r>
              <w:rPr>
                <w:sz w:val="18"/>
                <w:szCs w:val="18"/>
              </w:rPr>
              <w:t xml:space="preserve">互联网使用人口占比</w:t>
            </w:r>
          </w:p>
        </w:tc>
        <w:tc>
          <w:tcPr>
            <w:tcW w:w="1200" w:type="dxa"/>
            <w:vAlign w:val="center"/>
          </w:tcPr>
          <w:p>
            <w:pPr>
              <w:keepLines/>
              <w:spacing w:before="0" w:after="0" w:line="216" w:lineRule="auto"/>
              <w:jc w:val="center"/>
            </w:pPr>
            <w:r>
              <w:rPr>
                <w:sz w:val="18"/>
                <w:szCs w:val="18"/>
              </w:rPr>
              <w:t xml:space="preserve">71.20</w:t>
            </w:r>
          </w:p>
        </w:tc>
        <w:tc>
          <w:tcPr>
            <w:tcW w:w="3260" w:type="dxa"/>
            <w:vAlign w:val="center"/>
          </w:tcPr>
          <w:p>
            <w:pPr>
              <w:keepLines/>
              <w:spacing w:before="0" w:after="0" w:line="216" w:lineRule="auto"/>
              <w:jc w:val="center"/>
            </w:pPr>
            <w:r>
              <w:rPr>
                <w:sz w:val="18"/>
                <w:szCs w:val="18"/>
              </w:rPr>
              <w:t xml:space="preserve">[S05]</w:t>
            </w:r>
          </w:p>
        </w:tc>
      </w:tr>
    </w:tbl>
    <w:p>
      <w:pPr/>
    </w:p>
    <w:p>
      <w:pPr>
        <w:pStyle w:val="Heading1"/>
        <w:keepNext/>
        <w:keepLines/>
        <w:pageBreakBefore/>
      </w:pPr>
      <w:r>
        <w:t xml:space="preserve">横截面分析</w:t>
      </w:r>
    </w:p>
    <w:p>
      <w:pPr/>
      <w:r>
        <w:t xml:space="preserve">四项观察均属于2024年同一指标、同一单位和同一报告口径，因此可以直接进行数值比较:新加坡94.38%，中国92.00%，哥伦比亚79.35%，世界汇总71.20%；这里比较的是已报告比例，而不是不同年份、不同指标或不同统计口径之间的替代性比较。[S02][S03][S04][S05]</w:t>
      </w:r>
    </w:p>
    <w:p>
      <w:pPr/>
      <w:r>
        <w:t xml:space="preserve">按百分点计算，新加坡比中国高2.38个百分点，中国比哥伦比亚高12.65个百分点，新加坡比哥伦比亚高15.03个百分点；这些差值是同一指标、同一年度、同一单位的直接算术结果，表示比例差异，不等于服务速度、设备质量、技能水平或网络覆盖率的同幅差异。[S02][S03][S04]</w:t>
      </w:r>
    </w:p>
    <w:p>
      <w:pPr/>
      <w:r>
        <w:t xml:space="preserve">若以世界汇总71.20%为参照，中国高20.80个百分点，哥伦比亚高8.15个百分点，新加坡高23.18个百分点；该参照只说明各国家值相对于已报告世界汇总的位置，不能把国家值与世界汇总简单相加或平均，也不能据此推断因果方向。[S05][S01]</w:t>
      </w:r>
    </w:p>
    <w:tbl>
      <w:tblPr>
        <w:tblW w:w="9360" w:type="dxa"/>
        <w:tblLayout w:type="fixed"/>
        <w:tblInd w:w="0" w:type="dxa"/>
        <w:tblCellMar>
          <w:top w:w="55" w:type="dxa"/>
          <w:left w:w="55" w:type="dxa"/>
          <w:bottom w:w="55" w:type="dxa"/>
          <w:right w:w="55" w:type="dxa"/>
        </w:tblCellMar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2" w:color="D9D9D9"/>
          <w:insideV w:val="single" w:sz="2" w:color="D9D9D9"/>
        </w:tblBorders>
      </w:tblPr>
      <w:tblGrid>
        <w:gridCol w:w="2520"/>
        <w:gridCol w:w="2160"/>
        <w:gridCol w:w="3180"/>
        <w:gridCol w:w="1500"/>
      </w:tblGrid>
      <w:tr>
        <w:trPr>
          <w:tblHeader/>
          <w:cantSplit/>
        </w:trPr>
        <w:tc>
          <w:tcPr>
            <w:tcW w:w="2520" w:type="dxa"/>
            <w:vAlign w:val="center"/>
            <w:shd w:fill="F2F2F2"/>
          </w:tcPr>
          <w:p>
            <w:pPr>
              <w:keepLines/>
              <w:spacing w:before="0" w:after="0" w:line="192" w:lineRule="auto"/>
              <w:jc w:val="left"/>
            </w:pPr>
            <w:r>
              <w:rPr>
                <w:b/>
                <w:sz w:val="16"/>
                <w:szCs w:val="16"/>
              </w:rPr>
              <w:t xml:space="preserve">度量</w:t>
            </w:r>
          </w:p>
        </w:tc>
        <w:tc>
          <w:tcPr>
            <w:tcW w:w="2160" w:type="dxa"/>
            <w:vAlign w:val="center"/>
            <w:shd w:fill="F2F2F2"/>
          </w:tcPr>
          <w:p>
            <w:pPr>
              <w:keepLines/>
              <w:spacing w:before="0" w:after="0" w:line="192" w:lineRule="auto"/>
              <w:jc w:val="center"/>
            </w:pPr>
            <w:r>
              <w:rPr>
                <w:b/>
                <w:sz w:val="16"/>
                <w:szCs w:val="16"/>
              </w:rPr>
              <w:t xml:space="preserve">结果</w:t>
            </w:r>
          </w:p>
        </w:tc>
        <w:tc>
          <w:tcPr>
            <w:tcW w:w="3180" w:type="dxa"/>
            <w:vAlign w:val="center"/>
            <w:shd w:fill="F2F2F2"/>
          </w:tcPr>
          <w:p>
            <w:pPr>
              <w:keepLines/>
              <w:spacing w:before="0" w:after="0" w:line="192" w:lineRule="auto"/>
              <w:jc w:val="left"/>
            </w:pPr>
            <w:r>
              <w:rPr>
                <w:b/>
                <w:sz w:val="16"/>
                <w:szCs w:val="16"/>
              </w:rPr>
              <w:t xml:space="preserve">依据</w:t>
            </w:r>
          </w:p>
        </w:tc>
        <w:tc>
          <w:tcPr>
            <w:tcW w:w="1500" w:type="dxa"/>
            <w:vAlign w:val="center"/>
            <w:shd w:fill="F2F2F2"/>
          </w:tcPr>
          <w:p>
            <w:pPr>
              <w:keepLines/>
              <w:spacing w:before="0" w:after="0" w:line="192" w:lineRule="auto"/>
              <w:jc w:val="center"/>
            </w:pPr>
            <w:r>
              <w:rPr>
                <w:b/>
                <w:sz w:val="16"/>
                <w:szCs w:val="16"/>
              </w:rPr>
              <w:t xml:space="preserve">来源</w:t>
            </w:r>
          </w:p>
        </w:tc>
      </w:tr>
      <w:tr>
        <w:trPr>
          <w:cantSplit/>
        </w:trPr>
        <w:tc>
          <w:tcPr>
            <w:tcW w:w="2520" w:type="dxa"/>
            <w:vAlign w:val="center"/>
          </w:tcPr>
          <w:p>
            <w:pPr>
              <w:keepLines/>
              <w:spacing w:before="0" w:after="0" w:line="192" w:lineRule="auto"/>
              <w:jc w:val="left"/>
            </w:pPr>
            <w:r>
              <w:rPr>
                <w:sz w:val="16"/>
                <w:szCs w:val="16"/>
              </w:rPr>
              <w:t xml:space="preserve">范围</w:t>
            </w:r>
          </w:p>
        </w:tc>
        <w:tc>
          <w:tcPr>
            <w:tcW w:w="2160" w:type="dxa"/>
            <w:vAlign w:val="center"/>
          </w:tcPr>
          <w:p>
            <w:pPr>
              <w:keepLines/>
              <w:spacing w:before="0" w:after="0" w:line="192" w:lineRule="auto"/>
              <w:jc w:val="center"/>
            </w:pPr>
            <w:r>
              <w:rPr>
                <w:sz w:val="16"/>
                <w:szCs w:val="16"/>
              </w:rPr>
              <w:t xml:space="preserve">15.03 个百分点</w:t>
            </w:r>
          </w:p>
        </w:tc>
        <w:tc>
          <w:tcPr>
            <w:tcW w:w="3180" w:type="dxa"/>
            <w:vAlign w:val="center"/>
          </w:tcPr>
          <w:p>
            <w:pPr>
              <w:keepLines/>
              <w:spacing w:before="0" w:after="0" w:line="192" w:lineRule="auto"/>
              <w:jc w:val="left"/>
            </w:pPr>
            <w:r>
              <w:rPr>
                <w:sz w:val="16"/>
                <w:szCs w:val="16"/>
              </w:rPr>
              <w:t xml:space="preserve">79.35% 至 94.38%</w:t>
            </w:r>
          </w:p>
        </w:tc>
        <w:tc>
          <w:tcPr>
            <w:tcW w:w="1500" w:type="dxa"/>
            <w:vAlign w:val="center"/>
          </w:tcPr>
          <w:p>
            <w:pPr>
              <w:keepLines/>
              <w:spacing w:before="0" w:after="0" w:line="192" w:lineRule="auto"/>
              <w:jc w:val="center"/>
            </w:pPr>
            <w:r>
              <w:rPr>
                <w:sz w:val="16"/>
                <w:szCs w:val="16"/>
              </w:rPr>
              <w:t xml:space="preserve">[S02][S03][S04]</w:t>
            </w:r>
          </w:p>
        </w:tc>
      </w:tr>
      <w:tr>
        <w:trPr>
          <w:cantSplit/>
        </w:trPr>
        <w:tc>
          <w:tcPr>
            <w:tcW w:w="2520" w:type="dxa"/>
            <w:vAlign w:val="center"/>
          </w:tcPr>
          <w:p>
            <w:pPr>
              <w:keepLines/>
              <w:spacing w:before="0" w:after="0" w:line="192" w:lineRule="auto"/>
              <w:jc w:val="left"/>
            </w:pPr>
            <w:r>
              <w:rPr>
                <w:sz w:val="16"/>
                <w:szCs w:val="16"/>
              </w:rPr>
              <w:t xml:space="preserve">均值</w:t>
            </w:r>
          </w:p>
        </w:tc>
        <w:tc>
          <w:tcPr>
            <w:tcW w:w="2160" w:type="dxa"/>
            <w:vAlign w:val="center"/>
          </w:tcPr>
          <w:p>
            <w:pPr>
              <w:keepLines/>
              <w:spacing w:before="0" w:after="0" w:line="192" w:lineRule="auto"/>
              <w:jc w:val="center"/>
            </w:pPr>
            <w:r>
              <w:rPr>
                <w:sz w:val="16"/>
                <w:szCs w:val="16"/>
              </w:rPr>
              <w:t xml:space="preserve">88.57%</w:t>
            </w:r>
          </w:p>
        </w:tc>
        <w:tc>
          <w:tcPr>
            <w:tcW w:w="3180" w:type="dxa"/>
            <w:vAlign w:val="center"/>
          </w:tcPr>
          <w:p>
            <w:pPr>
              <w:keepLines/>
              <w:spacing w:before="0" w:after="0" w:line="192" w:lineRule="auto"/>
              <w:jc w:val="left"/>
            </w:pPr>
            <w:r>
              <w:rPr>
                <w:sz w:val="16"/>
                <w:szCs w:val="16"/>
              </w:rPr>
              <w:t xml:space="preserve">3 项观测</w:t>
            </w:r>
          </w:p>
        </w:tc>
        <w:tc>
          <w:tcPr>
            <w:tcW w:w="1500" w:type="dxa"/>
            <w:vAlign w:val="center"/>
          </w:tcPr>
          <w:p>
            <w:pPr>
              <w:keepLines/>
              <w:spacing w:before="0" w:after="0" w:line="192" w:lineRule="auto"/>
              <w:jc w:val="center"/>
            </w:pPr>
            <w:r>
              <w:rPr>
                <w:sz w:val="16"/>
                <w:szCs w:val="16"/>
              </w:rPr>
              <w:t xml:space="preserve">[S02][S03][S04]</w:t>
            </w:r>
          </w:p>
        </w:tc>
      </w:tr>
      <w:tr>
        <w:trPr>
          <w:cantSplit/>
        </w:trPr>
        <w:tc>
          <w:tcPr>
            <w:tcW w:w="2520" w:type="dxa"/>
            <w:vAlign w:val="center"/>
          </w:tcPr>
          <w:p>
            <w:pPr>
              <w:keepLines/>
              <w:spacing w:before="0" w:after="0" w:line="192" w:lineRule="auto"/>
              <w:jc w:val="left"/>
            </w:pPr>
            <w:r>
              <w:rPr>
                <w:sz w:val="16"/>
                <w:szCs w:val="16"/>
              </w:rPr>
              <w:t xml:space="preserve">中位数</w:t>
            </w:r>
          </w:p>
        </w:tc>
        <w:tc>
          <w:tcPr>
            <w:tcW w:w="2160" w:type="dxa"/>
            <w:vAlign w:val="center"/>
          </w:tcPr>
          <w:p>
            <w:pPr>
              <w:keepLines/>
              <w:spacing w:before="0" w:after="0" w:line="192" w:lineRule="auto"/>
              <w:jc w:val="center"/>
            </w:pPr>
            <w:r>
              <w:rPr>
                <w:sz w:val="16"/>
                <w:szCs w:val="16"/>
              </w:rPr>
              <w:t xml:space="preserve">92.00%</w:t>
            </w:r>
          </w:p>
        </w:tc>
        <w:tc>
          <w:tcPr>
            <w:tcW w:w="3180" w:type="dxa"/>
            <w:vAlign w:val="center"/>
          </w:tcPr>
          <w:p>
            <w:pPr>
              <w:keepLines/>
              <w:spacing w:before="0" w:after="0" w:line="192" w:lineRule="auto"/>
              <w:jc w:val="left"/>
            </w:pPr>
            <w:r>
              <w:rPr>
                <w:sz w:val="16"/>
                <w:szCs w:val="16"/>
              </w:rPr>
              <w:t xml:space="preserve">中间观测</w:t>
            </w:r>
          </w:p>
        </w:tc>
        <w:tc>
          <w:tcPr>
            <w:tcW w:w="1500" w:type="dxa"/>
            <w:vAlign w:val="center"/>
          </w:tcPr>
          <w:p>
            <w:pPr>
              <w:keepLines/>
              <w:spacing w:before="0" w:after="0" w:line="192" w:lineRule="auto"/>
              <w:jc w:val="center"/>
            </w:pPr>
            <w:r>
              <w:rPr>
                <w:sz w:val="16"/>
                <w:szCs w:val="16"/>
              </w:rPr>
              <w:t xml:space="preserve">[S02][S03][S04]</w:t>
            </w:r>
          </w:p>
        </w:tc>
      </w:tr>
      <w:tr>
        <w:trPr>
          <w:cantSplit/>
        </w:trPr>
        <w:tc>
          <w:tcPr>
            <w:tcW w:w="2520" w:type="dxa"/>
            <w:vAlign w:val="center"/>
          </w:tcPr>
          <w:p>
            <w:pPr>
              <w:keepLines/>
              <w:spacing w:before="0" w:after="0" w:line="192" w:lineRule="auto"/>
              <w:jc w:val="left"/>
            </w:pPr>
            <w:r>
              <w:rPr>
                <w:sz w:val="16"/>
                <w:szCs w:val="16"/>
              </w:rPr>
              <w:t xml:space="preserve">最高值</w:t>
            </w:r>
          </w:p>
        </w:tc>
        <w:tc>
          <w:tcPr>
            <w:tcW w:w="2160" w:type="dxa"/>
            <w:vAlign w:val="center"/>
          </w:tcPr>
          <w:p>
            <w:pPr>
              <w:keepLines/>
              <w:spacing w:before="0" w:after="0" w:line="192" w:lineRule="auto"/>
              <w:jc w:val="center"/>
            </w:pPr>
            <w:r>
              <w:rPr>
                <w:sz w:val="16"/>
                <w:szCs w:val="16"/>
              </w:rPr>
              <w:t xml:space="preserve">新加坡 94.38%</w:t>
            </w:r>
          </w:p>
        </w:tc>
        <w:tc>
          <w:tcPr>
            <w:tcW w:w="3180" w:type="dxa"/>
            <w:vAlign w:val="center"/>
          </w:tcPr>
          <w:p>
            <w:pPr>
              <w:keepLines/>
              <w:spacing w:before="0" w:after="0" w:line="192" w:lineRule="auto"/>
              <w:jc w:val="left"/>
            </w:pPr>
            <w:r>
              <w:rPr>
                <w:sz w:val="16"/>
                <w:szCs w:val="16"/>
              </w:rPr>
              <w:t xml:space="preserve">报告值中的最大值</w:t>
            </w:r>
          </w:p>
        </w:tc>
        <w:tc>
          <w:tcPr>
            <w:tcW w:w="1500" w:type="dxa"/>
            <w:vAlign w:val="center"/>
          </w:tcPr>
          <w:p>
            <w:pPr>
              <w:keepLines/>
              <w:spacing w:before="0" w:after="0" w:line="192" w:lineRule="auto"/>
              <w:jc w:val="center"/>
            </w:pPr>
            <w:r>
              <w:rPr>
                <w:sz w:val="16"/>
                <w:szCs w:val="16"/>
              </w:rPr>
              <w:t xml:space="preserve">[S04]</w:t>
            </w:r>
          </w:p>
        </w:tc>
      </w:tr>
      <w:tr>
        <w:trPr>
          <w:cantSplit/>
        </w:trPr>
        <w:tc>
          <w:tcPr>
            <w:tcW w:w="2520" w:type="dxa"/>
            <w:vAlign w:val="center"/>
          </w:tcPr>
          <w:p>
            <w:pPr>
              <w:keepLines/>
              <w:spacing w:before="0" w:after="0" w:line="192" w:lineRule="auto"/>
              <w:jc w:val="left"/>
            </w:pPr>
            <w:r>
              <w:rPr>
                <w:sz w:val="16"/>
                <w:szCs w:val="16"/>
              </w:rPr>
              <w:t xml:space="preserve">中国与世界比较</w:t>
            </w:r>
          </w:p>
        </w:tc>
        <w:tc>
          <w:tcPr>
            <w:tcW w:w="2160" w:type="dxa"/>
            <w:vAlign w:val="center"/>
          </w:tcPr>
          <w:p>
            <w:pPr>
              <w:keepLines/>
              <w:spacing w:before="0" w:after="0" w:line="192" w:lineRule="auto"/>
              <w:jc w:val="center"/>
            </w:pPr>
            <w:r>
              <w:rPr>
                <w:sz w:val="16"/>
                <w:szCs w:val="16"/>
              </w:rPr>
              <w:t xml:space="preserve">+20.80 个百分点</w:t>
            </w:r>
          </w:p>
        </w:tc>
        <w:tc>
          <w:tcPr>
            <w:tcW w:w="3180" w:type="dxa"/>
            <w:vAlign w:val="center"/>
          </w:tcPr>
          <w:p>
            <w:pPr>
              <w:keepLines/>
              <w:spacing w:before="0" w:after="0" w:line="192" w:lineRule="auto"/>
              <w:jc w:val="left"/>
            </w:pPr>
            <w:r>
              <w:rPr>
                <w:sz w:val="16"/>
                <w:szCs w:val="16"/>
              </w:rPr>
              <w:t xml:space="preserve">92.00% 与 71.20% 比较</w:t>
            </w:r>
          </w:p>
        </w:tc>
        <w:tc>
          <w:tcPr>
            <w:tcW w:w="1500" w:type="dxa"/>
            <w:vAlign w:val="center"/>
          </w:tcPr>
          <w:p>
            <w:pPr>
              <w:keepLines/>
              <w:spacing w:before="0" w:after="0" w:line="192" w:lineRule="auto"/>
              <w:jc w:val="center"/>
            </w:pPr>
            <w:r>
              <w:rPr>
                <w:sz w:val="16"/>
                <w:szCs w:val="16"/>
              </w:rPr>
              <w:t xml:space="preserve">[S05][S02]</w:t>
            </w:r>
          </w:p>
        </w:tc>
      </w:tr>
      <w:tr>
        <w:trPr>
          <w:cantSplit/>
        </w:trPr>
        <w:tc>
          <w:tcPr>
            <w:tcW w:w="2520" w:type="dxa"/>
            <w:vAlign w:val="center"/>
          </w:tcPr>
          <w:p>
            <w:pPr>
              <w:keepLines/>
              <w:spacing w:before="0" w:after="0" w:line="192" w:lineRule="auto"/>
              <w:jc w:val="left"/>
            </w:pPr>
            <w:r>
              <w:rPr>
                <w:sz w:val="16"/>
                <w:szCs w:val="16"/>
              </w:rPr>
              <w:t xml:space="preserve">哥伦比亚与世界比较</w:t>
            </w:r>
          </w:p>
        </w:tc>
        <w:tc>
          <w:tcPr>
            <w:tcW w:w="2160" w:type="dxa"/>
            <w:vAlign w:val="center"/>
          </w:tcPr>
          <w:p>
            <w:pPr>
              <w:keepLines/>
              <w:spacing w:before="0" w:after="0" w:line="192" w:lineRule="auto"/>
              <w:jc w:val="center"/>
            </w:pPr>
            <w:r>
              <w:rPr>
                <w:sz w:val="16"/>
                <w:szCs w:val="16"/>
              </w:rPr>
              <w:t xml:space="preserve">+8.15 个百分点</w:t>
            </w:r>
          </w:p>
        </w:tc>
        <w:tc>
          <w:tcPr>
            <w:tcW w:w="3180" w:type="dxa"/>
            <w:vAlign w:val="center"/>
          </w:tcPr>
          <w:p>
            <w:pPr>
              <w:keepLines/>
              <w:spacing w:before="0" w:after="0" w:line="192" w:lineRule="auto"/>
              <w:jc w:val="left"/>
            </w:pPr>
            <w:r>
              <w:rPr>
                <w:sz w:val="16"/>
                <w:szCs w:val="16"/>
              </w:rPr>
              <w:t xml:space="preserve">79.35% 与 71.20% 比较</w:t>
            </w:r>
          </w:p>
        </w:tc>
        <w:tc>
          <w:tcPr>
            <w:tcW w:w="1500" w:type="dxa"/>
            <w:vAlign w:val="center"/>
          </w:tcPr>
          <w:p>
            <w:pPr>
              <w:keepLines/>
              <w:spacing w:before="0" w:after="0" w:line="192" w:lineRule="auto"/>
              <w:jc w:val="center"/>
            </w:pPr>
            <w:r>
              <w:rPr>
                <w:sz w:val="16"/>
                <w:szCs w:val="16"/>
              </w:rPr>
              <w:t xml:space="preserve">[S05][S03]</w:t>
            </w:r>
          </w:p>
        </w:tc>
      </w:tr>
      <w:tr>
        <w:trPr>
          <w:cantSplit/>
        </w:trPr>
        <w:tc>
          <w:tcPr>
            <w:tcW w:w="2520" w:type="dxa"/>
            <w:vAlign w:val="center"/>
          </w:tcPr>
          <w:p>
            <w:pPr>
              <w:keepLines/>
              <w:spacing w:before="0" w:after="0" w:line="192" w:lineRule="auto"/>
              <w:jc w:val="left"/>
            </w:pPr>
            <w:r>
              <w:rPr>
                <w:sz w:val="16"/>
                <w:szCs w:val="16"/>
              </w:rPr>
              <w:t xml:space="preserve">新加坡与世界比较</w:t>
            </w:r>
          </w:p>
        </w:tc>
        <w:tc>
          <w:tcPr>
            <w:tcW w:w="2160" w:type="dxa"/>
            <w:vAlign w:val="center"/>
          </w:tcPr>
          <w:p>
            <w:pPr>
              <w:keepLines/>
              <w:spacing w:before="0" w:after="0" w:line="192" w:lineRule="auto"/>
              <w:jc w:val="center"/>
            </w:pPr>
            <w:r>
              <w:rPr>
                <w:sz w:val="16"/>
                <w:szCs w:val="16"/>
              </w:rPr>
              <w:t xml:space="preserve">+23.18 个百分点</w:t>
            </w:r>
          </w:p>
        </w:tc>
        <w:tc>
          <w:tcPr>
            <w:tcW w:w="3180" w:type="dxa"/>
            <w:vAlign w:val="center"/>
          </w:tcPr>
          <w:p>
            <w:pPr>
              <w:keepLines/>
              <w:spacing w:before="0" w:after="0" w:line="192" w:lineRule="auto"/>
              <w:jc w:val="left"/>
            </w:pPr>
            <w:r>
              <w:rPr>
                <w:sz w:val="16"/>
                <w:szCs w:val="16"/>
              </w:rPr>
              <w:t xml:space="preserve">94.38% 与 71.20% 比较</w:t>
            </w:r>
          </w:p>
        </w:tc>
        <w:tc>
          <w:tcPr>
            <w:tcW w:w="1500" w:type="dxa"/>
            <w:vAlign w:val="center"/>
          </w:tcPr>
          <w:p>
            <w:pPr>
              <w:keepLines/>
              <w:spacing w:before="0" w:after="0" w:line="192" w:lineRule="auto"/>
              <w:jc w:val="center"/>
            </w:pPr>
            <w:r>
              <w:rPr>
                <w:sz w:val="16"/>
                <w:szCs w:val="16"/>
              </w:rPr>
              <w:t xml:space="preserve">[S05][S04]</w:t>
            </w:r>
          </w:p>
        </w:tc>
      </w:tr>
    </w:tbl>
    <w:p>
      <w:pPr/>
    </w:p>
    <w:p>
      <w:pPr>
        <w:pStyle w:val="Heading2"/>
        <w:keepNext/>
        <w:keepLines/>
      </w:pPr>
      <w:r>
        <w:t xml:space="preserve">决策用途</w:t>
      </w:r>
    </w:p>
    <w:p>
      <w:pPr/>
      <w:r>
        <w:t xml:space="preserve">对数字基础设施与战略决策者而言，最稳妥的用法是把四项比例作为需求侧覆盖和接入行为的基线，而不是把高比例直接解释为网络质量达标；在资源配置、项目评估或服务可达性判断中，应同时引入速度、稳定性、可负担性、技能与地区差异等维度。[S01][S06]</w:t>
      </w:r>
    </w:p>
    <w:p>
      <w:pPr/>
      <w:r>
        <w:t xml:space="preserve">在演示文稿和研究报告中，应把原始数值、四舍五入数值和百分点差分别标注，例如92.00%与92.0%应被视为同一原始观测的不同展示精度；这样可以让决策者在保留可编辑图表的同时，清楚区分事实计算与分析解释。[S01]</w:t>
      </w:r>
    </w:p>
    <w:p>
      <w:pPr/>
      <w:r>
        <w:t xml:space="preserve">由于本指标只覆盖过去三个月是否使用互联网，不能直接衡量网速、设备、服务质量、数字技能或经济结果，决策含义应表述为“提供接入和使用基线”，而不是“证明基础设施投资导致使用率提升”；任何因果判断都需要额外的时间序列、政策评估或因果识别设计。[S06][S01]</w:t>
      </w:r>
    </w:p>
    <w:p>
      <w:pPr>
        <w:pStyle w:val="Heading2"/>
        <w:keepNext/>
        <w:keepLines/>
      </w:pPr>
      <w:r>
        <w:t xml:space="preserve">行动建议</w:t>
      </w:r>
    </w:p>
    <w:p>
      <w:pPr>
        <w:pStyle w:val="Heading2"/>
        <w:keepNext/>
        <w:keepLines/>
        <w:keepNext/>
        <w:keepLines/>
        <w:spacing w:before="100" w:after="50"/>
      </w:pPr>
      <w:r>
        <w:t xml:space="preserve">1. 建立一份2024年同口径数据底稿，共用原始观测值；所有差距明确标注“百分点”，展示精度与计算精度分开。 [S02] [S03] [S04] [S05] [S01]</w:t>
      </w:r>
    </w:p>
    <w:p>
      <w:pPr>
        <w:keepNext/>
        <w:keepLines/>
        <w:spacing w:after="80"/>
      </w:pPr>
      <w:r>
        <w:t xml:space="preserve">四项观察均属于世界银行 IT.NET.USER.ZS 同年指标；哥伦比亚等原始值不应先四舍五入再计算差距。</w:t>
      </w:r>
    </w:p>
    <w:p>
      <w:pPr>
        <w:pStyle w:val="Cite"/>
        <w:keepLines/>
        <w:spacing w:after="60"/>
      </w:pPr>
      <w:r>
        <w:t xml:space="preserve">数据分析负责人:发布带来源、年份、单位、原始值和展示值的单页口径表，并在使用前交叉核对原始值与展示值。</w:t>
      </w:r>
    </w:p>
    <w:p>
      <w:pPr>
        <w:pStyle w:val="Heading2"/>
        <w:keepNext/>
        <w:keepLines/>
        <w:keepNext/>
        <w:keepLines/>
        <w:spacing w:before="100" w:after="50"/>
      </w:pPr>
      <w:r>
        <w:t xml:space="preserve">2. 把世界汇总单列为参照线并注明汇总层级；不要把它当作第四个国家，也不要与三个国家值直接求简单平均。 [S05] [S01]</w:t>
      </w:r>
    </w:p>
    <w:p>
      <w:pPr>
        <w:keepNext/>
        <w:keepLines/>
        <w:spacing w:after="80"/>
      </w:pPr>
      <w:r>
        <w:t xml:space="preserve">世界汇总71.20%与国家观察属于同一指标但不同汇总层级；错误混排会使读者误解比较对象。</w:t>
      </w:r>
    </w:p>
    <w:p>
      <w:pPr>
        <w:pStyle w:val="Cite"/>
        <w:keepLines/>
        <w:spacing w:after="60"/>
      </w:pPr>
      <w:r>
        <w:t xml:space="preserve">图表负责人:在图例与表格类别中标注“世界汇总”，将三国排序与世界参照分开。</w:t>
      </w:r>
    </w:p>
    <w:p>
      <w:pPr>
        <w:pStyle w:val="Heading2"/>
        <w:keepNext/>
        <w:keepLines/>
        <w:keepNext/>
        <w:keepLines/>
        <w:spacing w:before="100" w:after="50"/>
      </w:pPr>
      <w:r>
        <w:t xml:space="preserve">3. 将使用率仅作为需求侧基线；投资或政策优先级决策前，补查网速、稳定性、可负担性、数字技能及地区分组指标，不由高使用率直接推断基础设施投资成效。 [S06]</w:t>
      </w:r>
    </w:p>
    <w:p>
      <w:pPr>
        <w:keepNext/>
        <w:keepLines/>
        <w:spacing w:after="80"/>
      </w:pPr>
      <w:r>
        <w:t xml:space="preserve">IT.NET.USER.ZS 衡量过去三个月是否使用互联网，不直接衡量服务质量，也不提供因果识别。</w:t>
      </w:r>
    </w:p>
    <w:p>
      <w:pPr>
        <w:pStyle w:val="Cite"/>
        <w:keepLines/>
        <w:spacing w:after="60"/>
      </w:pPr>
      <w:r>
        <w:t xml:space="preserve">战略与研究团队:建立补证清单，缺少质量和分组数据时把投资因果判断标为待验证。</w:t>
      </w:r>
    </w:p>
    <w:p>
      <w:pPr>
        <w:pStyle w:val="Heading2"/>
        <w:keepNext/>
        <w:keepLines/>
        <w:keepNext/>
        <w:keepLines/>
        <w:spacing w:before="100" w:after="50"/>
      </w:pPr>
      <w:r>
        <w:t xml:space="preserve">4. 对哥伦比亚与中国、新加坡的横向差距先补同口径时间序列与城乡、收入等分组数据，再提出针对性的接入或普惠干预方案。 [S02] [S03] [S04] [S06]</w:t>
      </w:r>
    </w:p>
    <w:p>
      <w:pPr>
        <w:keepNext/>
        <w:keepLines/>
        <w:spacing w:after="80"/>
      </w:pPr>
      <w:r>
        <w:t xml:space="preserve">2024年的横向比例差异可量化，但单年数据无法揭示差距的成因、变化趋势或群体分布。</w:t>
      </w:r>
    </w:p>
    <w:p>
      <w:pPr>
        <w:pStyle w:val="Cite"/>
        <w:keepLines/>
        <w:spacing w:after="60"/>
      </w:pPr>
      <w:r>
        <w:t xml:space="preserve">区域研究负责人:列出缺失的年度和分组数据；在补证前仅陈述差距，不归因。</w:t>
      </w:r>
    </w:p>
    <w:p>
      <w:pPr>
        <w:pStyle w:val="Heading2"/>
        <w:keepNext/>
        <w:keepLines/>
        <w:keepNext/>
        <w:keepLines/>
        <w:spacing w:before="100" w:after="50"/>
      </w:pPr>
      <w:r>
        <w:t xml:space="preserve">局限性与不确定性</w:t>
      </w:r>
    </w:p>
    <w:p>
      <w:pPr>
        <w:keepNext/>
        <w:keepLines/>
        <w:spacing w:after="40"/>
      </w:pPr>
      <w:r>
        <w:t xml:space="preserve">本报告的主要局限是证据集中于单一指标、单一观察年份和三个国家与一个世界汇总；它不能揭示不同年份的变化趋势，也不能区分城乡、年龄、收入、地区、性别或技能群体之间的差异，因此不能替代更细颗粒度的数字包容评估。[S01][S06]</w:t>
      </w:r>
    </w:p>
    <w:p>
      <w:pPr>
        <w:keepNext/>
        <w:keepLines/>
        <w:spacing w:after="40"/>
      </w:pPr>
      <w:r>
        <w:t xml:space="preserve">世界汇总与世界银行国家值虽然使用相同指标，但汇总层级不同；把世界汇总当作一个普通国家，或把四项比例简单平均，会产生错误的统计解释，因为国家人口规模、汇总权重和实体类型并不相同。[S01]</w:t>
      </w:r>
    </w:p>
    <w:p>
      <w:pPr>
        <w:keepNext/>
        <w:keepLines/>
        <w:spacing w:after="40"/>
      </w:pPr>
      <w:r>
        <w:t xml:space="preserve">本材料支持的是横向比较和决策提示，不支持因果结论；若要判断某项基础设施投资、价格政策或推广项目是否改变使用行为，应补充时间序列、分组数据、反事实设计和质量指标，并在使用前核验数据来源、版本和定义。[S01]</w:t>
      </w:r>
    </w:p>
    <w:p>
      <w:pPr>
        <w:numPr>
          <w:ilvl w:val="0"/>
          <w:numId w:val="2"/>
        </w:numPr>
      </w:pPr>
      <w:r>
        <w:t xml:space="preserve">比较汇总统计仅纳入 3 项非世界观测；世界作为独立基准保留。其他保留的报告材料不纳入这些指标。</w:t>
      </w:r>
    </w:p>
    <w:p>
      <w:pPr>
        <w:pStyle w:val="Heading2"/>
        <w:keepNext/>
        <w:keepLines/>
      </w:pPr>
      <w:r>
        <w:t xml:space="preserve">可执行结论</w:t>
      </w:r>
    </w:p>
    <w:p>
      <w:pPr/>
      <w:r>
        <w:t xml:space="preserve">在2024年同一世界银行指标下，新加坡94.38%、中国92.00%、哥伦比亚79.35%和世界汇总71.20%构成可比的四项观察；若面向决策展示，可将新加坡和中国视为接近高覆盖区间，将哥伦比亚视为仍高于世界汇总但低于两者的国家观察。[S02][S03][S04][S05]</w:t>
      </w:r>
    </w:p>
    <w:p>
      <w:pPr/>
      <w:r>
        <w:t xml:space="preserve">下一步应将原始值、四舍五入值和百分点差分层呈现，并保留世界汇总与独立国家的标签差异；在基础设施、普惠接入、数字技能、可负担性和质量评估进入同一决策框架前，应补充相应指标，而不能把本指标单独当作综合数字基础设施评价。[S01][S06]</w:t>
      </w:r>
    </w:p>
    <w:p>
      <w:pPr/>
      <w:r>
        <w:t xml:space="preserve">所有图表、文字和结论应引用同一版本的数据快照，避免年份、单位、四舍五入或指标定义出现不一致。[S01]</w:t>
      </w:r>
    </w:p>
    <w:p>
      <w:pPr>
        <w:pStyle w:val="Heading1"/>
        <w:keepNext/>
        <w:keepLines/>
      </w:pPr>
      <w:r>
        <w:t xml:space="preserve">参考文献</w:t>
      </w:r>
    </w:p>
    <w:tbl>
      <w:tblPr>
        <w:tblW w:w="936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80"/>
        <w:gridCol w:w="4680"/>
      </w:tblGrid>
      <w:tr>
        <w:trPr>
          <w:cantSplit/>
        </w:trPr>
        <w:tc>
          <w:tcPr>
            <w:tcW w:w="4680" w:type="dxa"/>
            <w:tcMar>
              <w:top w:w="52" w:type="dxa"/>
              <w:left w:w="65" w:type="dxa"/>
              <w:bottom w:w="52" w:type="dxa"/>
              <w:right w:w="65" w:type="dxa"/>
            </w:tcMar>
          </w:tcPr>
          <w:p>
            <w:pPr>
              <w:pStyle w:val="Reference"/>
              <w:keepLines/>
              <w:keepNext/>
              <w:spacing w:after="52"/>
              <w:jc w:val="left"/>
            </w:pPr>
            <w:r>
              <w:rPr>
                <w:sz w:val="18"/>
                <w:szCs w:val="18"/>
              </w:rPr>
              <w:t xml:space="preserve">[S01] 证据编号 2ad4bd0c-7af1-4320-adf7-a9e4f01c1480. 用户提供材料 1. 发布方: merakstar.top. 发布日期: 未说明. 访问日期: 2026-09-11T14:40:07.895Z. 网址: https:/​/​www.​merakstar.​top/​user-​source/​53ab934e-​0a81-​4aa0-​9eb2-​4683fb3cf83c/​text/​416b002ae19c5ed56a06648c</w:t>
            </w:r>
          </w:p>
        </w:tc>
        <w:tc>
          <w:tcPr>
            <w:tcW w:w="4680" w:type="dxa"/>
            <w:tcMar>
              <w:top w:w="52" w:type="dxa"/>
              <w:left w:w="65" w:type="dxa"/>
              <w:bottom w:w="52" w:type="dxa"/>
              <w:right w:w="65" w:type="dxa"/>
            </w:tcMar>
          </w:tcPr>
          <w:p>
            <w:pPr>
              <w:pStyle w:val="Reference"/>
              <w:keepLines/>
              <w:keepNext/>
              <w:spacing w:after="52"/>
              <w:jc w:val="left"/>
            </w:pPr>
            <w:r>
              <w:rPr>
                <w:sz w:val="18"/>
                <w:szCs w:val="18"/>
              </w:rPr>
              <w:t xml:space="preserve">[S02] 证据编号 b6033114-b219-4331-8ebb-895ce62e77ff. World Bank: Individuals using the Internet (% of population), China. 发布方: api.worldbank.org. 发布日期: 未说明. 访问日期: 2026-09-11T15:41:24.924Z. 网址: https:/​/​api.​worldbank.​org/​v2/​country/​CHN/​indicator/​IT.​NET.​USER.​ZS?​format=​json&amp;​date=​2024:2024</w:t>
            </w:r>
          </w:p>
        </w:tc>
      </w:tr>
      <w:tr>
        <w:trPr>
          <w:cantSplit/>
        </w:trPr>
        <w:tc>
          <w:tcPr>
            <w:tcW w:w="4680" w:type="dxa"/>
            <w:tcMar>
              <w:top w:w="52" w:type="dxa"/>
              <w:left w:w="65" w:type="dxa"/>
              <w:bottom w:w="52" w:type="dxa"/>
              <w:right w:w="65" w:type="dxa"/>
            </w:tcMar>
          </w:tcPr>
          <w:p>
            <w:pPr>
              <w:pStyle w:val="Reference"/>
              <w:keepLines/>
              <w:keepNext/>
              <w:spacing w:after="52"/>
              <w:jc w:val="left"/>
            </w:pPr>
            <w:r>
              <w:rPr>
                <w:sz w:val="18"/>
                <w:szCs w:val="18"/>
              </w:rPr>
              <w:t xml:space="preserve">[S03] 证据编号 b074d54d-92d9-40bf-8605-6d73d8056c11. World Bank: Individuals using the Internet (% of population), Colombia. 发布方: api.worldbank.org. 发布日期: 未说明. 访问日期: 2026-09-11T15:41:25.218Z. 网址: https:/​/​api.​worldbank.​org/​v2/​country/​COL/​indicator/​IT.​NET.​USER.​ZS?​format=​json&amp;​date=​2024:2024</w:t>
            </w:r>
          </w:p>
        </w:tc>
        <w:tc>
          <w:tcPr>
            <w:tcW w:w="4680" w:type="dxa"/>
            <w:tcMar>
              <w:top w:w="52" w:type="dxa"/>
              <w:left w:w="65" w:type="dxa"/>
              <w:bottom w:w="52" w:type="dxa"/>
              <w:right w:w="65" w:type="dxa"/>
            </w:tcMar>
          </w:tcPr>
          <w:p>
            <w:pPr>
              <w:pStyle w:val="Reference"/>
              <w:keepLines/>
              <w:keepNext/>
              <w:spacing w:after="52"/>
              <w:jc w:val="left"/>
            </w:pPr>
            <w:r>
              <w:rPr>
                <w:sz w:val="18"/>
                <w:szCs w:val="18"/>
              </w:rPr>
              <w:t xml:space="preserve">[S04] 证据编号 a36a280d-f8a3-43e6-ae07-94eb74e23905. World Bank: Individuals using the Internet (% of population), Singapore. 发布方: api.worldbank.org. 发布日期: 未说明. 访问日期: 2026-09-11T15:41:25.508Z. 网址: https:/​/​api.​worldbank.​org/​v2/​country/​SGP/​indicator/​IT.​NET.​USER.​ZS?​format=​json&amp;​date=​2024:2024</w:t>
            </w:r>
          </w:p>
        </w:tc>
      </w:tr>
      <w:tr>
        <w:trPr>
          <w:cantSplit/>
        </w:trPr>
        <w:tc>
          <w:tcPr>
            <w:tcW w:w="4680" w:type="dxa"/>
            <w:tcMar>
              <w:top w:w="52" w:type="dxa"/>
              <w:left w:w="65" w:type="dxa"/>
              <w:bottom w:w="52" w:type="dxa"/>
              <w:right w:w="65" w:type="dxa"/>
            </w:tcMar>
          </w:tcPr>
          <w:p>
            <w:pPr>
              <w:pStyle w:val="Reference"/>
              <w:keepLines/>
              <w:spacing w:after="52"/>
              <w:jc w:val="left"/>
            </w:pPr>
            <w:r>
              <w:rPr>
                <w:sz w:val="18"/>
                <w:szCs w:val="18"/>
              </w:rPr>
              <w:t xml:space="preserve">[S05] 证据编号 2d7af828-2e31-4e5e-88bd-17d5c24384a2. World Bank: Individuals using the Internet (% of population), World. 发布方: api.worldbank.org. 发布日期: 未说明. 访问日期: 2026-09-11T15:41:25.797Z. 网址: https:/​/​api.​worldbank.​org/​v2/​country/​WLD/​indicator/​IT.​NET.​USER.​ZS?​format=​json&amp;​date=​2024:2024</w:t>
            </w:r>
          </w:p>
        </w:tc>
        <w:tc>
          <w:tcPr>
            <w:tcW w:w="4680" w:type="dxa"/>
            <w:tcMar>
              <w:top w:w="52" w:type="dxa"/>
              <w:left w:w="65" w:type="dxa"/>
              <w:bottom w:w="52" w:type="dxa"/>
              <w:right w:w="65" w:type="dxa"/>
            </w:tcMar>
          </w:tcPr>
          <w:p>
            <w:pPr>
              <w:pStyle w:val="Reference"/>
              <w:keepLines/>
              <w:spacing w:after="52"/>
              <w:jc w:val="left"/>
            </w:pPr>
            <w:r>
              <w:rPr>
                <w:sz w:val="18"/>
                <w:szCs w:val="18"/>
              </w:rPr>
              <w:t xml:space="preserve">[S06] 证据编号 afbcf07f-2b29-4b33-967d-4982e98a8ad7. World Bank indicator definition: Individuals using the Internet (% of population). 发布方: api.worldbank.org. 发布日期: 未说明. 访问日期: 2026-09-11T17:53:57.688Z. 网址: https:/​/​api.​worldbank.​org/​v2/​indicator/​IT.​NET.​USER.​ZS?​format=​json</w:t>
            </w:r>
          </w:p>
        </w:tc>
      </w:tr>
    </w:tbl>
    <w:sectPr>
      <w:headerReference w:type="default" r:id="rId2"/>
      <w:footerReference w:type="default" r:id="rId3"/>
      <w:pgSz w:w="12240" w:h="15840"/>
      <w:pgMar w:top="1440" w:right="1440" w:bottom="1440" w:left="1440" w:header="720" w:footer="720" w:gutter="0"/>
    </w:sectPr>
  </w:body>
</w:document>
</file>

<file path=word/footer1.xml><?xml version="1.0" encoding="utf-8"?>
<w:ftr xmlns:w="http://schemas.openxmlformats.org/wordprocessingml/2006/main">
  <w:tbl>
    <w:tblPr>
      <w:tblW w:w="9360" w:type="dxa"/>
      <w:tblLayout w:type="fixed"/>
      <w:tblBorders>
        <w:top w:val="nil"/>
        <w:left w:val="nil"/>
        <w:bottom w:val="nil"/>
        <w:right w:val="nil"/>
        <w:insideH w:val="nil"/>
        <w:insideV w:val="nil"/>
      </w:tblBorders>
      <w:tblCellMar>
        <w:top w:w="0" w:type="dxa"/>
        <w:left w:w="0" w:type="dxa"/>
        <w:bottom w:w="0" w:type="dxa"/>
        <w:right w:w="0" w:type="dxa"/>
      </w:tblCellMar>
    </w:tblPr>
    <w:tblGrid>
      <w:gridCol w:w="9360"/>
    </w:tblGrid>
    <w:tr>
      <w:trPr>
        <w:cantSplit/>
      </w:trPr>
      <w:tc>
        <w:tcPr>
          <w:tcW w:w="9360" w:type="dxa"/>
        </w:tcPr>
        <w:p>
          <w:pPr>
            <w:jc w:val="center"/>
            <w:spacing w:before="0" w:after="0"/>
          </w:pPr>
          <w:r>
            <w:rPr>
              <w:rFonts w:ascii="Calibri" w:hAnsi="Calibri"/>
              <w:sz w:val="18"/>
              <w:color w:val="5D6460"/>
            </w:rPr>
            <w:t xml:space="preserve">第 </w:t>
          </w:r>
          <w:r>
            <w:rPr>
              <w:sz w:val="18"/>
              <w:color w:val="5D6460"/>
            </w:rPr>
            <w:fldChar w:fldCharType="begin"/>
          </w:r>
          <w:r>
            <w:rPr>
              <w:sz w:val="18"/>
              <w:color w:val="5D6460"/>
            </w:rPr>
            <w:instrText xml:space="preserve"> PAGE </w:instrText>
          </w:r>
          <w:r>
            <w:rPr>
              <w:sz w:val="18"/>
              <w:color w:val="5D6460"/>
            </w:rPr>
            <w:fldChar w:fldCharType="separate"/>
          </w:r>
          <w:r>
            <w:rPr>
              <w:sz w:val="18"/>
              <w:color w:val="5D6460"/>
            </w:rPr>
            <w:t>1</w:t>
          </w:r>
          <w:r>
            <w:rPr>
              <w:sz w:val="18"/>
              <w:color w:val="5D6460"/>
            </w:rPr>
            <w:fldChar w:fldCharType="end"/>
          </w:r>
          <w:r>
            <w:rPr>
              <w:rFonts w:ascii="Calibri" w:hAnsi="Calibri"/>
              <w:sz w:val="18"/>
              <w:color w:val="5D6460"/>
            </w:rPr>
            <w:t xml:space="preserve"> 页</w:t>
          </w:r>
        </w:p>
      </w:tc>
    </w:tr>
  </w:tbl>
</w:ftr>
</file>

<file path=word/header1.xml><?xml version="1.0" encoding="utf-8"?>
<w:hdr xmlns:w="http://schemas.openxmlformats.org/wordprocessingml/2006/main">
  <w:tbl>
    <w:tblPr>
      <w:tblW w:w="9360" w:type="dxa"/>
      <w:tblLayout w:type="fixed"/>
      <w:tblBorders>
        <w:top w:val="nil"/>
        <w:left w:val="nil"/>
        <w:bottom w:val="nil"/>
        <w:right w:val="nil"/>
        <w:insideH w:val="nil"/>
        <w:insideV w:val="nil"/>
      </w:tblBorders>
      <w:tblCellMar>
        <w:top w:w="0" w:type="dxa"/>
        <w:left w:w="0" w:type="dxa"/>
        <w:bottom w:w="0" w:type="dxa"/>
        <w:right w:w="0" w:type="dxa"/>
      </w:tblCellMar>
    </w:tblPr>
    <w:tblGrid>
      <w:gridCol w:w="9360"/>
    </w:tblGrid>
    <w:tr>
      <w:trPr>
        <w:cantSplit/>
      </w:trPr>
      <w:tc>
        <w:tcPr>
          <w:tcW w:w="9360" w:type="dxa"/>
        </w:tcPr>
        <w:p>
          <w:pPr>
            <w:jc w:val="center"/>
            <w:spacing w:before="0" w:after="0"/>
          </w:pPr>
          <w:r>
            <w:rPr>
              <w:rFonts w:ascii="Calibri" w:hAnsi="Calibri"/>
              <w:sz w:val="18"/>
              <w:color w:val="5D6460"/>
            </w:rPr>
            <w:t xml:space="preserve">研究报告</w:t>
          </w:r>
        </w:p>
      </w:tc>
    </w:tr>
  </w:tbl>
</w:hdr>
</file>

<file path=word/numbering.xml><?xml version="1.0" encoding="utf-8"?>
<w:numbering xmlns:w="http://schemas.openxmlformats.org/wordprocessingml/2006/main">
  <w:abstractNum w:abstractNumId="1">
    <w:nsid w:val="A1B2C3D4"/>
    <w:multiLevelType w:val="singleLevel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">
    <w:nsid w:val="B2C3D4E5"/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 w:cs="Calibri"/>
        <w:sz w:val="22"/>
        <w:szCs w:val="22"/>
        <w:color w:val="111716"/>
      </w:rPr>
    </w:rPrDefault>
    <w:pPrDefault>
      <w:pPr>
        <w:spacing w:after="160" w:line="276" w:lineRule="auto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qFormat/>
    <w:pPr>
      <w:spacing w:before="80" w:after="100"/>
    </w:pPr>
    <w:rPr>
      <w:rFonts w:ascii="Calibri Light" w:hAnsi="Calibri Light"/>
      <w:b/>
      <w:sz w:val="52"/>
      <w:color w:val="1B2421"/>
    </w:rPr>
  </w:style>
  <w:style w:type="paragraph" w:styleId="Subtitle">
    <w:name w:val="Subtitle"/>
    <w:basedOn w:val="Normal"/>
    <w:pPr>
      <w:spacing w:before="0" w:after="160"/>
    </w:pPr>
    <w:rPr>
      <w:rFonts w:ascii="Calibri" w:hAnsi="Calibri" w:eastAsia="Microsoft YaHei"/>
      <w:b/>
      <w:sz w:val="21"/>
      <w:szCs w:val="21"/>
      <w:color w:val="5D6460"/>
    </w:rPr>
  </w:style>
  <w:style w:type="paragraph" w:styleId="Heading1">
    <w:name w:val="Heading 1"/>
    <w:basedOn w:val="Normal"/>
    <w:next w:val="Normal"/>
    <w:qFormat/>
    <w:pPr>
      <w:spacing w:before="280" w:after="120"/>
      <w:outlineLvl w:val="0"/>
      <w:pBdr>
        <w:bottom w:val="single" w:sz="6" w:space="4" w:color="E4775C"/>
      </w:pBdr>
    </w:pPr>
    <w:rPr>
      <w:b/>
      <w:sz w:val="28"/>
      <w:color w:val="1B2421"/>
    </w:rPr>
  </w:style>
  <w:style w:type="paragraph" w:styleId="Heading2">
    <w:name w:val="Heading 2"/>
    <w:basedOn w:val="Normal"/>
    <w:next w:val="Normal"/>
    <w:qFormat/>
    <w:pPr>
      <w:spacing w:before="200" w:after="80"/>
      <w:outlineLvl w:val="1"/>
    </w:pPr>
    <w:rPr>
      <w:b/>
      <w:sz w:val="24"/>
      <w:color w:val="1B2421"/>
    </w:rPr>
  </w:style>
  <w:style w:type="paragraph" w:styleId="Kicker">
    <w:name w:val="Kicker"/>
    <w:basedOn w:val="Normal"/>
    <w:pPr>
      <w:spacing w:after="80"/>
    </w:pPr>
    <w:rPr>
      <w:b/>
      <w:sz w:val="18"/>
      <w:color w:val="E4775C"/>
      <w:rFonts w:ascii="Calibri" w:hAnsi="Calibri"/>
    </w:rPr>
  </w:style>
  <w:style w:type="paragraph" w:styleId="Cite">
    <w:name w:val="Cite"/>
    <w:basedOn w:val="Normal"/>
    <w:pPr>
      <w:spacing w:after="120"/>
    </w:pPr>
    <w:rPr>
      <w:sz w:val="18"/>
      <w:color w:val="5D6460"/>
      <w:i/>
    </w:rPr>
  </w:style>
  <w:style w:type="paragraph" w:styleId="Reference">
    <w:name w:val="Reference"/>
    <w:basedOn w:val="Normal"/>
    <w:pPr>
      <w:spacing w:after="70" w:line="248" w:lineRule="auto"/>
    </w:pPr>
    <w:rPr>
      <w:sz w:val="18"/>
      <w:szCs w:val="18"/>
      <w:color w:val="5D6460"/>
    </w:rPr>
  </w:style>
  <w:style w:type="paragraph" w:styleId="Header">
    <w:name w:val="Header"/>
    <w:basedOn w:val="Normal"/>
    <w:rPr>
      <w:sz w:val="18"/>
      <w:color w:val="5D6460"/>
    </w:rPr>
  </w:style>
  <w:style w:type="paragraph" w:styleId="Footer">
    <w:name w:val="Footer"/>
    <w:basedOn w:val="Normal"/>
    <w:rPr>
      <w:sz w:val="18"/>
      <w:color w:val="5D6460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header" Target="header1.xml"/>
  <Relationship Id="rId3" Type="http://schemas.openxmlformats.org/officeDocument/2006/relationships/footer" Target="footer1.xml"/>
  <Relationship Id="rId4" Type="http://schemas.openxmlformats.org/officeDocument/2006/relationships/numbering" Target="numbering.xml"/>
  <Relationship Id="rId5" Type="http://schemas.openxmlformats.org/officeDocument/2006/relationships/settings" Target="settings.xml"/>
  
  <Relationship Id="rId6" Type="http://schemas.openxmlformats.org/officeDocument/2006/relationships/image" Target="media/chart1.svg"/>
</Relationships>
</file>

<file path=docProps/app.xml><?xml version="1.0" encoding="utf-8"?>
<Properties xmlns="http://schemas.openxmlformats.org/officeDocument/2006/extended-properties">
  <Application>研究报告</Application>
  <DocSecurity>0</DocSecurity>
  <ScaleCrop>false</ScaleCrop>
  <Company>研究报告</Company>
  <LinksUpToDate>false</LinksUpToDate>
  <SharedDoc>false</SharedDoc>
  <HyperlinksChanged>false</HyperlinksChanged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2024年世界与中国 哥伦比亚 新加坡互联网使用率比较</dc:title>
  <dc:creator>研究报告</dc:creator>
  <cp:lastModifiedBy>研究报告</cp:lastModifiedBy>
  <dcterms:created xsi:type="dcterms:W3CDTF">2026-10-01T07:36:07.802Z</dcterms:created>
  <dcterms:modified xsi:type="dcterms:W3CDTF">2026-10-01T07:36:07.802Z</dcterms:modified>
</cp:coreProperties>
</file>